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E5A" w:rsidRPr="00E64E5A" w:rsidRDefault="00E64E5A" w:rsidP="00E6634F">
      <w:pPr>
        <w:pStyle w:val="Title"/>
        <w:jc w:val="center"/>
      </w:pPr>
      <w:r>
        <w:rPr>
          <w:rFonts w:asciiTheme="minorHAnsi" w:hAnsiTheme="minorHAnsi"/>
          <w:sz w:val="40"/>
          <w:szCs w:val="40"/>
        </w:rPr>
        <w:t>Somerset Levels and Moors</w:t>
      </w:r>
      <w:r w:rsidR="00E6634F">
        <w:rPr>
          <w:rFonts w:asciiTheme="minorHAnsi" w:hAnsiTheme="minorHAnsi"/>
          <w:sz w:val="40"/>
          <w:szCs w:val="40"/>
        </w:rPr>
        <w:t>:</w:t>
      </w:r>
    </w:p>
    <w:p w:rsidR="00E64E5A" w:rsidRDefault="00542C8A" w:rsidP="00E64E5A">
      <w:pPr>
        <w:pStyle w:val="Title"/>
        <w:jc w:val="center"/>
        <w:rPr>
          <w:rFonts w:asciiTheme="minorHAnsi" w:hAnsiTheme="minorHAnsi"/>
          <w:sz w:val="40"/>
          <w:szCs w:val="40"/>
        </w:rPr>
      </w:pPr>
      <w:r w:rsidRPr="00E64E5A">
        <w:rPr>
          <w:rFonts w:asciiTheme="minorHAnsi" w:hAnsiTheme="minorHAnsi"/>
          <w:sz w:val="40"/>
          <w:szCs w:val="40"/>
        </w:rPr>
        <w:t xml:space="preserve">Assessment of the impact of </w:t>
      </w:r>
    </w:p>
    <w:p w:rsidR="00E64E5A" w:rsidRDefault="00E64E5A" w:rsidP="00E64E5A">
      <w:pPr>
        <w:pStyle w:val="Title"/>
        <w:jc w:val="center"/>
        <w:rPr>
          <w:rFonts w:asciiTheme="minorHAnsi" w:hAnsiTheme="minorHAnsi"/>
          <w:sz w:val="40"/>
          <w:szCs w:val="40"/>
        </w:rPr>
      </w:pPr>
      <w:r>
        <w:rPr>
          <w:rFonts w:asciiTheme="minorHAnsi" w:hAnsiTheme="minorHAnsi"/>
          <w:sz w:val="40"/>
          <w:szCs w:val="40"/>
        </w:rPr>
        <w:t>w</w:t>
      </w:r>
      <w:r w:rsidR="0068473B" w:rsidRPr="00E64E5A">
        <w:rPr>
          <w:rFonts w:asciiTheme="minorHAnsi" w:hAnsiTheme="minorHAnsi"/>
          <w:sz w:val="40"/>
          <w:szCs w:val="40"/>
        </w:rPr>
        <w:t>ater level management</w:t>
      </w:r>
      <w:r>
        <w:rPr>
          <w:rFonts w:asciiTheme="minorHAnsi" w:hAnsiTheme="minorHAnsi"/>
          <w:sz w:val="40"/>
          <w:szCs w:val="40"/>
        </w:rPr>
        <w:t xml:space="preserve"> </w:t>
      </w:r>
    </w:p>
    <w:p w:rsidR="00542C8A" w:rsidRDefault="00542C8A" w:rsidP="00E64E5A">
      <w:pPr>
        <w:pStyle w:val="Title"/>
        <w:jc w:val="center"/>
        <w:rPr>
          <w:rFonts w:asciiTheme="minorHAnsi" w:hAnsiTheme="minorHAnsi"/>
          <w:sz w:val="40"/>
          <w:szCs w:val="40"/>
        </w:rPr>
      </w:pPr>
      <w:r w:rsidRPr="00E64E5A">
        <w:rPr>
          <w:rFonts w:asciiTheme="minorHAnsi" w:hAnsiTheme="minorHAnsi"/>
          <w:sz w:val="40"/>
          <w:szCs w:val="40"/>
        </w:rPr>
        <w:t xml:space="preserve">on </w:t>
      </w:r>
      <w:r w:rsidR="0068473B" w:rsidRPr="00E64E5A">
        <w:rPr>
          <w:rFonts w:asciiTheme="minorHAnsi" w:hAnsiTheme="minorHAnsi"/>
          <w:sz w:val="40"/>
          <w:szCs w:val="40"/>
        </w:rPr>
        <w:t>flood risk</w:t>
      </w:r>
    </w:p>
    <w:p w:rsidR="00E64E5A" w:rsidRPr="00E64E5A" w:rsidRDefault="00E64E5A" w:rsidP="00E64E5A"/>
    <w:p w:rsidR="0068473B" w:rsidRDefault="0068473B" w:rsidP="0068473B">
      <w:pPr>
        <w:jc w:val="center"/>
        <w:rPr>
          <w:b/>
          <w:sz w:val="28"/>
          <w:szCs w:val="28"/>
        </w:rPr>
      </w:pPr>
      <w:r w:rsidRPr="0068473B">
        <w:rPr>
          <w:b/>
          <w:sz w:val="28"/>
          <w:szCs w:val="28"/>
        </w:rPr>
        <w:t>Report to Somerset Drainage Board</w:t>
      </w:r>
      <w:r w:rsidR="00921C66">
        <w:rPr>
          <w:b/>
          <w:sz w:val="28"/>
          <w:szCs w:val="28"/>
        </w:rPr>
        <w:t>s Consortium</w:t>
      </w:r>
    </w:p>
    <w:p w:rsidR="006A3AD6" w:rsidRDefault="006A3AD6" w:rsidP="0068473B">
      <w:pPr>
        <w:jc w:val="center"/>
        <w:rPr>
          <w:b/>
          <w:sz w:val="28"/>
          <w:szCs w:val="28"/>
        </w:rPr>
      </w:pPr>
    </w:p>
    <w:p w:rsidR="006A3AD6" w:rsidRDefault="006A3AD6" w:rsidP="0068473B">
      <w:pPr>
        <w:jc w:val="center"/>
        <w:rPr>
          <w:b/>
          <w:sz w:val="28"/>
          <w:szCs w:val="28"/>
        </w:rPr>
      </w:pPr>
      <w:r>
        <w:rPr>
          <w:b/>
          <w:noProof/>
          <w:sz w:val="28"/>
          <w:szCs w:val="28"/>
        </w:rPr>
        <w:drawing>
          <wp:inline distT="0" distB="0" distL="0" distR="0">
            <wp:extent cx="4276904" cy="4276904"/>
            <wp:effectExtent l="19050" t="0" r="9346" b="0"/>
            <wp:docPr id="6" name="Picture 5"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9" cstate="email">
                      <a:extLst>
                        <a:ext uri="{28A0092B-C50C-407E-A947-70E740481C1C}">
                          <a14:useLocalDpi xmlns:a14="http://schemas.microsoft.com/office/drawing/2010/main"/>
                        </a:ext>
                      </a:extLst>
                    </a:blip>
                    <a:stretch>
                      <a:fillRect/>
                    </a:stretch>
                  </pic:blipFill>
                  <pic:spPr>
                    <a:xfrm>
                      <a:off x="0" y="0"/>
                      <a:ext cx="4284785" cy="4284785"/>
                    </a:xfrm>
                    <a:prstGeom prst="rect">
                      <a:avLst/>
                    </a:prstGeom>
                  </pic:spPr>
                </pic:pic>
              </a:graphicData>
            </a:graphic>
          </wp:inline>
        </w:drawing>
      </w:r>
    </w:p>
    <w:p w:rsidR="006A3AD6" w:rsidRDefault="006A3AD6" w:rsidP="0068473B">
      <w:pPr>
        <w:jc w:val="center"/>
        <w:rPr>
          <w:b/>
          <w:sz w:val="28"/>
          <w:szCs w:val="28"/>
        </w:rPr>
      </w:pPr>
    </w:p>
    <w:p w:rsidR="001E6755" w:rsidRDefault="001E6755" w:rsidP="0068473B">
      <w:pPr>
        <w:jc w:val="center"/>
        <w:rPr>
          <w:sz w:val="28"/>
          <w:szCs w:val="28"/>
        </w:rPr>
      </w:pPr>
      <w:r>
        <w:rPr>
          <w:sz w:val="28"/>
          <w:szCs w:val="28"/>
        </w:rPr>
        <w:t>Charlie Stratford</w:t>
      </w:r>
      <w:r w:rsidR="001C44ED">
        <w:rPr>
          <w:sz w:val="28"/>
          <w:szCs w:val="28"/>
        </w:rPr>
        <w:t xml:space="preserve"> and Mike Acreman</w:t>
      </w:r>
    </w:p>
    <w:p w:rsidR="001E6755" w:rsidRDefault="001E6755" w:rsidP="0068473B">
      <w:pPr>
        <w:jc w:val="center"/>
        <w:rPr>
          <w:sz w:val="28"/>
          <w:szCs w:val="28"/>
        </w:rPr>
      </w:pPr>
      <w:r>
        <w:rPr>
          <w:sz w:val="28"/>
          <w:szCs w:val="28"/>
        </w:rPr>
        <w:t>Centre for Ecology and Hydrology</w:t>
      </w:r>
    </w:p>
    <w:p w:rsidR="0068473B" w:rsidRDefault="003D02F4" w:rsidP="001E6755">
      <w:pPr>
        <w:jc w:val="center"/>
        <w:rPr>
          <w:b/>
        </w:rPr>
      </w:pPr>
      <w:r>
        <w:rPr>
          <w:sz w:val="28"/>
          <w:szCs w:val="28"/>
        </w:rPr>
        <w:t>October</w:t>
      </w:r>
      <w:r w:rsidR="001E6755">
        <w:rPr>
          <w:sz w:val="28"/>
          <w:szCs w:val="28"/>
        </w:rPr>
        <w:t xml:space="preserve"> 2014</w:t>
      </w:r>
      <w:r w:rsidR="0068473B">
        <w:rPr>
          <w:b/>
        </w:rPr>
        <w:br w:type="page"/>
      </w:r>
    </w:p>
    <w:p w:rsidR="00306C3C" w:rsidRDefault="001E6755">
      <w:pPr>
        <w:rPr>
          <w:b/>
        </w:rPr>
      </w:pPr>
      <w:r>
        <w:rPr>
          <w:b/>
        </w:rPr>
        <w:lastRenderedPageBreak/>
        <w:t>Acknowledgements</w:t>
      </w:r>
    </w:p>
    <w:p w:rsidR="001E6755" w:rsidRPr="001E6755" w:rsidRDefault="001E6755">
      <w:r>
        <w:t>We would like to thank the following people for their assistance in compiling this document.</w:t>
      </w:r>
    </w:p>
    <w:tbl>
      <w:tblPr>
        <w:tblStyle w:val="TableGrid"/>
        <w:tblW w:w="0" w:type="auto"/>
        <w:tblLook w:val="04A0" w:firstRow="1" w:lastRow="0" w:firstColumn="1" w:lastColumn="0" w:noHBand="0" w:noVBand="1"/>
      </w:tblPr>
      <w:tblGrid>
        <w:gridCol w:w="3080"/>
        <w:gridCol w:w="4966"/>
      </w:tblGrid>
      <w:tr w:rsidR="001E6755" w:rsidRPr="001E6755" w:rsidTr="00805519">
        <w:tc>
          <w:tcPr>
            <w:tcW w:w="3080" w:type="dxa"/>
          </w:tcPr>
          <w:p w:rsidR="001E6755" w:rsidRPr="001E6755" w:rsidRDefault="001E6755">
            <w:pPr>
              <w:rPr>
                <w:b/>
              </w:rPr>
            </w:pPr>
            <w:r>
              <w:rPr>
                <w:b/>
              </w:rPr>
              <w:t>Name</w:t>
            </w:r>
          </w:p>
        </w:tc>
        <w:tc>
          <w:tcPr>
            <w:tcW w:w="4966" w:type="dxa"/>
          </w:tcPr>
          <w:p w:rsidR="001E6755" w:rsidRPr="001E6755" w:rsidRDefault="001E6755">
            <w:pPr>
              <w:rPr>
                <w:b/>
              </w:rPr>
            </w:pPr>
            <w:r>
              <w:rPr>
                <w:b/>
              </w:rPr>
              <w:t>Organisation</w:t>
            </w:r>
          </w:p>
        </w:tc>
      </w:tr>
      <w:tr w:rsidR="001E6755" w:rsidRPr="001E6755" w:rsidTr="00805519">
        <w:tc>
          <w:tcPr>
            <w:tcW w:w="3080" w:type="dxa"/>
          </w:tcPr>
          <w:p w:rsidR="001E6755" w:rsidRPr="001E6755" w:rsidRDefault="001E6755">
            <w:r w:rsidRPr="001E6755">
              <w:t>Phil Brewin</w:t>
            </w:r>
          </w:p>
        </w:tc>
        <w:tc>
          <w:tcPr>
            <w:tcW w:w="4966" w:type="dxa"/>
          </w:tcPr>
          <w:p w:rsidR="001E6755" w:rsidRPr="001E6755" w:rsidRDefault="001E6755">
            <w:r>
              <w:t>Somerset Drainage Board</w:t>
            </w:r>
            <w:r w:rsidR="00805519">
              <w:t xml:space="preserve"> Consortium</w:t>
            </w:r>
          </w:p>
        </w:tc>
      </w:tr>
      <w:tr w:rsidR="001E6755" w:rsidRPr="001E6755" w:rsidTr="00805519">
        <w:tc>
          <w:tcPr>
            <w:tcW w:w="3080" w:type="dxa"/>
          </w:tcPr>
          <w:p w:rsidR="001E6755" w:rsidRDefault="001E6755">
            <w:r>
              <w:t>Nick Stevens</w:t>
            </w:r>
          </w:p>
        </w:tc>
        <w:tc>
          <w:tcPr>
            <w:tcW w:w="4966" w:type="dxa"/>
          </w:tcPr>
          <w:p w:rsidR="001E6755" w:rsidRDefault="001E6755">
            <w:r>
              <w:t>Somerset Drainage Board</w:t>
            </w:r>
            <w:r w:rsidR="00805519">
              <w:t xml:space="preserve"> Consortium</w:t>
            </w:r>
          </w:p>
        </w:tc>
      </w:tr>
      <w:tr w:rsidR="001E6755" w:rsidRPr="001E6755" w:rsidTr="00805519">
        <w:tc>
          <w:tcPr>
            <w:tcW w:w="3080" w:type="dxa"/>
          </w:tcPr>
          <w:p w:rsidR="001E6755" w:rsidRPr="001E6755" w:rsidRDefault="00805519">
            <w:r>
              <w:t>Iain Sturdy</w:t>
            </w:r>
          </w:p>
        </w:tc>
        <w:tc>
          <w:tcPr>
            <w:tcW w:w="4966" w:type="dxa"/>
          </w:tcPr>
          <w:p w:rsidR="001E6755" w:rsidRPr="001E6755" w:rsidRDefault="00805519">
            <w:r>
              <w:t>Somerset Drainage Board Consortium</w:t>
            </w:r>
          </w:p>
        </w:tc>
      </w:tr>
      <w:tr w:rsidR="001E6755" w:rsidRPr="001E6755" w:rsidTr="00805519">
        <w:tc>
          <w:tcPr>
            <w:tcW w:w="3080" w:type="dxa"/>
          </w:tcPr>
          <w:p w:rsidR="001E6755" w:rsidRPr="001E6755" w:rsidRDefault="001E6755">
            <w:r>
              <w:t>Keith Fifield</w:t>
            </w:r>
          </w:p>
        </w:tc>
        <w:tc>
          <w:tcPr>
            <w:tcW w:w="4966" w:type="dxa"/>
          </w:tcPr>
          <w:p w:rsidR="001E6755" w:rsidRPr="001E6755" w:rsidRDefault="001E6755">
            <w:r>
              <w:t>Environment Agency</w:t>
            </w:r>
          </w:p>
        </w:tc>
      </w:tr>
      <w:tr w:rsidR="001E6755" w:rsidRPr="001E6755" w:rsidTr="00805519">
        <w:tc>
          <w:tcPr>
            <w:tcW w:w="3080" w:type="dxa"/>
          </w:tcPr>
          <w:p w:rsidR="001E6755" w:rsidRPr="001E6755" w:rsidRDefault="001E6755" w:rsidP="001E6755">
            <w:r>
              <w:t>Murray Bush</w:t>
            </w:r>
          </w:p>
        </w:tc>
        <w:tc>
          <w:tcPr>
            <w:tcW w:w="4966" w:type="dxa"/>
          </w:tcPr>
          <w:p w:rsidR="001E6755" w:rsidRPr="001E6755" w:rsidRDefault="001E6755">
            <w:r>
              <w:t>Environment Agency</w:t>
            </w:r>
          </w:p>
        </w:tc>
      </w:tr>
      <w:tr w:rsidR="001E6755" w:rsidRPr="001E6755" w:rsidTr="00805519">
        <w:tc>
          <w:tcPr>
            <w:tcW w:w="3080" w:type="dxa"/>
          </w:tcPr>
          <w:p w:rsidR="001E6755" w:rsidRPr="001E6755" w:rsidRDefault="001E6755">
            <w:r>
              <w:t>Christopher Matthews</w:t>
            </w:r>
          </w:p>
        </w:tc>
        <w:tc>
          <w:tcPr>
            <w:tcW w:w="4966" w:type="dxa"/>
          </w:tcPr>
          <w:p w:rsidR="001E6755" w:rsidRPr="001E6755" w:rsidRDefault="001E6755">
            <w:r>
              <w:t>Environment Agency</w:t>
            </w:r>
          </w:p>
        </w:tc>
      </w:tr>
    </w:tbl>
    <w:p w:rsidR="001E6755" w:rsidRPr="001E6755" w:rsidRDefault="001E6755">
      <w:pPr>
        <w:rPr>
          <w:b/>
        </w:rPr>
      </w:pPr>
    </w:p>
    <w:p w:rsidR="001E6755" w:rsidRDefault="001E6755">
      <w:pPr>
        <w:rPr>
          <w:b/>
        </w:rPr>
      </w:pPr>
      <w:r>
        <w:rPr>
          <w:b/>
        </w:rPr>
        <w:br w:type="page"/>
      </w:r>
    </w:p>
    <w:p w:rsidR="001E6755" w:rsidRDefault="001E6755" w:rsidP="00E53A7D">
      <w:pPr>
        <w:pStyle w:val="Heading2"/>
      </w:pPr>
      <w:bookmarkStart w:id="0" w:name="_Toc402956167"/>
      <w:r>
        <w:lastRenderedPageBreak/>
        <w:t>Executive Summary</w:t>
      </w:r>
      <w:bookmarkEnd w:id="0"/>
    </w:p>
    <w:p w:rsidR="001E6755" w:rsidRPr="001E6755" w:rsidRDefault="001E6755">
      <w:pPr>
        <w:rPr>
          <w:b/>
        </w:rPr>
      </w:pPr>
    </w:p>
    <w:p w:rsidR="004152B1" w:rsidRDefault="00CC3ED1" w:rsidP="004152B1">
      <w:pPr>
        <w:jc w:val="both"/>
      </w:pPr>
      <w:r>
        <w:t xml:space="preserve">The aim of this document is to provide the reader with a robust understanding of the processes that affect surface-water flooding in the area of the Somerset Levels and Moors. Particular attention is paid to the storage of water in the ditch </w:t>
      </w:r>
      <w:r w:rsidR="0025548B">
        <w:t>network and adjacent soil body and a</w:t>
      </w:r>
      <w:r>
        <w:t xml:space="preserve"> key output of this report is an assessment of the role of ditch management in the </w:t>
      </w:r>
      <w:r w:rsidR="0025548B">
        <w:t>severity</w:t>
      </w:r>
      <w:r>
        <w:t xml:space="preserve"> of flood events</w:t>
      </w:r>
      <w:r w:rsidR="0025548B">
        <w:t>.</w:t>
      </w:r>
      <w:r w:rsidR="000141BD">
        <w:t xml:space="preserve"> </w:t>
      </w:r>
      <w:r w:rsidR="004152B1">
        <w:t>The Somerset Levels and Moors</w:t>
      </w:r>
      <w:r w:rsidR="004152B1" w:rsidRPr="003D3DC8">
        <w:t xml:space="preserve"> </w:t>
      </w:r>
      <w:r w:rsidR="004152B1">
        <w:t xml:space="preserve">consist of low-lying organic peat soils sitting on top of marine silts and clays, and form in effect an impermeable bowl. Rain falling on </w:t>
      </w:r>
      <w:r w:rsidR="00F37799">
        <w:t xml:space="preserve">the surrounding catchments </w:t>
      </w:r>
      <w:r w:rsidR="004152B1">
        <w:t>will either infiltrate and recharge the groundwater system or find its way to the network of channels that pass through the Levels and Moors before ultimately entering the Bristol Channel. The area is naturally susceptible to flooding.</w:t>
      </w:r>
    </w:p>
    <w:p w:rsidR="007B3EDF" w:rsidRDefault="004152B1" w:rsidP="004152B1">
      <w:pPr>
        <w:jc w:val="both"/>
      </w:pPr>
      <w:r>
        <w:t>Extensive drainage was carried out in the 17</w:t>
      </w:r>
      <w:r w:rsidRPr="00893684">
        <w:rPr>
          <w:vertAlign w:val="superscript"/>
        </w:rPr>
        <w:t>th</w:t>
      </w:r>
      <w:r>
        <w:t xml:space="preserve"> and 18</w:t>
      </w:r>
      <w:r w:rsidRPr="00893684">
        <w:rPr>
          <w:vertAlign w:val="superscript"/>
        </w:rPr>
        <w:t>th</w:t>
      </w:r>
      <w:r>
        <w:t xml:space="preserve"> centuries with the aim of making the land more accessible and increasing its agricultural value. The drainage network is </w:t>
      </w:r>
      <w:r w:rsidR="00F37799">
        <w:t xml:space="preserve">principally </w:t>
      </w:r>
      <w:r>
        <w:t xml:space="preserve">managed to minimise the impact of flooding, </w:t>
      </w:r>
      <w:r w:rsidR="00F37799">
        <w:t xml:space="preserve">enable agricultural production </w:t>
      </w:r>
      <w:r>
        <w:t xml:space="preserve">and also </w:t>
      </w:r>
      <w:r w:rsidR="00F37799">
        <w:t xml:space="preserve">provide conditions required for the conservation of the natural and historic environment. </w:t>
      </w:r>
      <w:r w:rsidR="00430D9D">
        <w:rPr>
          <w:rFonts w:ascii="Calibri" w:eastAsia="Times New Roman" w:hAnsi="Calibri" w:cs="Calibri"/>
          <w:color w:val="000000"/>
        </w:rPr>
        <w:t xml:space="preserve">In summer, </w:t>
      </w:r>
      <w:r w:rsidR="00430D9D">
        <w:t xml:space="preserve">water levels in the ditch network are generally maintained at 0.3 m below field surface for the purposes of land management, predominantly cattle grazing. </w:t>
      </w:r>
      <w:r w:rsidR="007B3EDF">
        <w:t>In winter, water levels in the ditch network are generally maintained at 0.6 m below field surface whereas in the subset of channels that are managed in accordance with the raised water-level area (RWLA) scheme water levels are maintaine</w:t>
      </w:r>
      <w:r w:rsidR="000D4CAF">
        <w:t>d level with the field surface.</w:t>
      </w:r>
      <w:r w:rsidR="007B3EDF">
        <w:t xml:space="preserve"> The aim of RWLA management is primarily to sustain wetland habitats and create conditions for ove</w:t>
      </w:r>
      <w:r w:rsidR="000D4CAF">
        <w:t>r-wintering and breeding birds.</w:t>
      </w:r>
      <w:r w:rsidR="007B3EDF">
        <w:t xml:space="preserve"> It is acknowledged that water level management for both agriculture and wildlife results in a reduction in the storage capacity of the drainage network. The study area is divided into 10 water level management plan (WLMP) areas which cover 19,265 ha, or 35%, of the Parrett IDB and Axe Brue IDB districts.</w:t>
      </w:r>
      <w:r w:rsidR="007B3EDF">
        <w:rPr>
          <w:color w:val="000000"/>
        </w:rPr>
        <w:t xml:space="preserve"> </w:t>
      </w:r>
    </w:p>
    <w:p w:rsidR="008322EC" w:rsidRDefault="007755A7" w:rsidP="00D672EA">
      <w:pPr>
        <w:jc w:val="both"/>
      </w:pPr>
      <w:r>
        <w:t xml:space="preserve">Episodes of flooding occur when the total of the inputs from one or more of the driving mechanisms (precipitation, runoff, groundwater discharge, over-bank flow and lateral exchange in) exceeds the total of the outputs (evaporation, groundwater recharge, surface outflow and lateral exchange out) in excess of the storage capacity of the system. </w:t>
      </w:r>
      <w:r w:rsidR="00BB088B">
        <w:t>This report assesses the total ditch storage capacity, which consists of t</w:t>
      </w:r>
      <w:r w:rsidR="000141BD">
        <w:t xml:space="preserve">wo components: the available volume in the surface water bodies and the available volume in the soil profile. Surface water body storage is calculated by multiplying the </w:t>
      </w:r>
      <w:r w:rsidR="00FF6563">
        <w:t xml:space="preserve">channel </w:t>
      </w:r>
      <w:r w:rsidR="000141BD">
        <w:t xml:space="preserve">dimensions by the available storage depth before </w:t>
      </w:r>
      <w:r w:rsidR="00FF6563">
        <w:t>the channel is full</w:t>
      </w:r>
      <w:r w:rsidR="000141BD">
        <w:t xml:space="preserve">. Soil profile storage is more difficult to establish but is quantified in this study by multiplying the distance of influence of ditch water level (Distance of influence: mean 9 m, range 5 m to 30 m) by the amount of pore space available for storage (Specific yield: mean 0.2, range 0.15 to 0.25). The numbers in brackets indicate the most likely values for each parameter established by a review of the relevant literature. </w:t>
      </w:r>
    </w:p>
    <w:p w:rsidR="008322EC" w:rsidRPr="00EA6C18" w:rsidRDefault="00045500" w:rsidP="004713CB">
      <w:pPr>
        <w:jc w:val="both"/>
        <w:rPr>
          <w:rFonts w:cstheme="minorHAnsi"/>
        </w:rPr>
      </w:pPr>
      <w:r>
        <w:t>A numerical model was set up to estimate the volume of water stored under different water level management conditions</w:t>
      </w:r>
      <w:r w:rsidR="006C374B">
        <w:t xml:space="preserve">. </w:t>
      </w:r>
      <w:r w:rsidR="00BB088B">
        <w:t>The</w:t>
      </w:r>
      <w:r w:rsidR="007109F5">
        <w:t xml:space="preserve"> theoretical</w:t>
      </w:r>
      <w:r w:rsidR="004A2F61">
        <w:t xml:space="preserve"> </w:t>
      </w:r>
      <w:r w:rsidR="007109F5">
        <w:t>maximum</w:t>
      </w:r>
      <w:r w:rsidR="00BB088B">
        <w:t xml:space="preserve"> ditch </w:t>
      </w:r>
      <w:r w:rsidR="004A2F61" w:rsidRPr="006C374B">
        <w:t>stora</w:t>
      </w:r>
      <w:r w:rsidR="007109F5">
        <w:t xml:space="preserve">ge </w:t>
      </w:r>
      <w:r w:rsidR="008322EC">
        <w:t xml:space="preserve">volume </w:t>
      </w:r>
      <w:r w:rsidR="00667F00">
        <w:t xml:space="preserve">was calculated </w:t>
      </w:r>
      <w:r w:rsidR="007109F5">
        <w:t xml:space="preserve">by comparing </w:t>
      </w:r>
      <w:r w:rsidR="00667F00">
        <w:t xml:space="preserve">the difference </w:t>
      </w:r>
      <w:r w:rsidR="008322EC">
        <w:t>in</w:t>
      </w:r>
      <w:r w:rsidR="00667F00">
        <w:t xml:space="preserve"> volume between </w:t>
      </w:r>
      <w:r w:rsidR="004A2F61">
        <w:t xml:space="preserve">winter pen levels </w:t>
      </w:r>
      <w:r w:rsidR="007109F5">
        <w:t xml:space="preserve">(without RWLA) </w:t>
      </w:r>
      <w:r w:rsidR="004A2F61">
        <w:t>and ground level</w:t>
      </w:r>
      <w:r w:rsidR="00585A6F">
        <w:t>. The volume</w:t>
      </w:r>
      <w:r w:rsidR="00BB088B">
        <w:t>s</w:t>
      </w:r>
      <w:r w:rsidR="00585A6F">
        <w:t xml:space="preserve"> occupied by RWLA </w:t>
      </w:r>
      <w:r w:rsidR="00123F64">
        <w:t xml:space="preserve">management </w:t>
      </w:r>
      <w:r w:rsidR="00585A6F">
        <w:t xml:space="preserve">in winter and agricultural pen levels in summer were </w:t>
      </w:r>
      <w:r w:rsidR="00123F64">
        <w:t xml:space="preserve">also </w:t>
      </w:r>
      <w:r w:rsidR="00585A6F">
        <w:t>calculated and compared with</w:t>
      </w:r>
      <w:r w:rsidR="008322EC">
        <w:t xml:space="preserve"> the</w:t>
      </w:r>
      <w:r w:rsidR="00585A6F">
        <w:t xml:space="preserve"> theoretical </w:t>
      </w:r>
      <w:r w:rsidR="007109F5">
        <w:t>maximum</w:t>
      </w:r>
      <w:r w:rsidR="007109F5" w:rsidRPr="006C374B">
        <w:t xml:space="preserve"> </w:t>
      </w:r>
      <w:r w:rsidR="00BB088B">
        <w:t xml:space="preserve">ditch </w:t>
      </w:r>
      <w:r w:rsidR="008322EC">
        <w:t>storage</w:t>
      </w:r>
      <w:r w:rsidR="00585A6F">
        <w:t>.</w:t>
      </w:r>
      <w:r w:rsidR="00585A6F" w:rsidRPr="00585A6F">
        <w:t xml:space="preserve"> </w:t>
      </w:r>
      <w:r w:rsidR="00585A6F">
        <w:t xml:space="preserve"> For some areas it has been possible </w:t>
      </w:r>
      <w:r w:rsidR="008322EC">
        <w:t xml:space="preserve">to </w:t>
      </w:r>
      <w:r w:rsidR="00585A6F">
        <w:t xml:space="preserve">calculate </w:t>
      </w:r>
      <w:r w:rsidR="007109F5">
        <w:t>peak</w:t>
      </w:r>
      <w:r w:rsidR="00585A6F">
        <w:t xml:space="preserve"> </w:t>
      </w:r>
      <w:r w:rsidR="007109F5">
        <w:t xml:space="preserve">flood </w:t>
      </w:r>
      <w:r w:rsidR="00585A6F">
        <w:t xml:space="preserve">volumes and extents during winter 2014, as well as the volumes and extents </w:t>
      </w:r>
      <w:r w:rsidR="00DB59B9">
        <w:t>for</w:t>
      </w:r>
      <w:r w:rsidR="00585A6F">
        <w:t xml:space="preserve"> a </w:t>
      </w:r>
      <w:r w:rsidR="008322EC">
        <w:t xml:space="preserve">less severe </w:t>
      </w:r>
      <w:r w:rsidR="00585A6F">
        <w:t>flood that reaches the level of the lowest road.</w:t>
      </w:r>
      <w:r w:rsidR="00DB59B9">
        <w:t xml:space="preserve">  These flood </w:t>
      </w:r>
      <w:r w:rsidR="008322EC">
        <w:lastRenderedPageBreak/>
        <w:t xml:space="preserve">volumes </w:t>
      </w:r>
      <w:r w:rsidR="00DB59B9">
        <w:t xml:space="preserve">and </w:t>
      </w:r>
      <w:r w:rsidR="00DB59B9" w:rsidRPr="00EA6C18">
        <w:rPr>
          <w:rFonts w:cstheme="minorHAnsi"/>
        </w:rPr>
        <w:t xml:space="preserve">extents have been used to assess the flood impacts of </w:t>
      </w:r>
      <w:r w:rsidR="00BB088B" w:rsidRPr="00EA6C18">
        <w:rPr>
          <w:rFonts w:cstheme="minorHAnsi"/>
        </w:rPr>
        <w:t xml:space="preserve">ditch </w:t>
      </w:r>
      <w:r w:rsidR="00DB59B9" w:rsidRPr="00EA6C18">
        <w:rPr>
          <w:rFonts w:cstheme="minorHAnsi"/>
        </w:rPr>
        <w:t xml:space="preserve">storage volumes occupied by RWLA </w:t>
      </w:r>
      <w:r w:rsidR="00123F64" w:rsidRPr="00EA6C18">
        <w:rPr>
          <w:rFonts w:cstheme="minorHAnsi"/>
        </w:rPr>
        <w:t xml:space="preserve">management </w:t>
      </w:r>
      <w:r w:rsidR="00DB59B9" w:rsidRPr="00EA6C18">
        <w:rPr>
          <w:rFonts w:cstheme="minorHAnsi"/>
        </w:rPr>
        <w:t xml:space="preserve">in winter and agricultural pen levels in summer. </w:t>
      </w:r>
    </w:p>
    <w:p w:rsidR="00585A6F" w:rsidRPr="00EA6C18" w:rsidRDefault="00DB59B9" w:rsidP="00DB59B9">
      <w:pPr>
        <w:jc w:val="both"/>
        <w:rPr>
          <w:rFonts w:cstheme="minorHAnsi"/>
        </w:rPr>
      </w:pPr>
      <w:r w:rsidRPr="00EA6C18">
        <w:rPr>
          <w:rFonts w:cstheme="minorHAnsi"/>
        </w:rPr>
        <w:t>The model results indicate that:</w:t>
      </w:r>
    </w:p>
    <w:p w:rsidR="00EA6C18" w:rsidRPr="00EA6C18" w:rsidRDefault="00EA6C18" w:rsidP="00EA6C18">
      <w:pPr>
        <w:numPr>
          <w:ilvl w:val="0"/>
          <w:numId w:val="38"/>
        </w:numPr>
        <w:spacing w:before="240" w:after="0" w:line="240" w:lineRule="auto"/>
        <w:ind w:left="714" w:hanging="357"/>
        <w:jc w:val="both"/>
        <w:rPr>
          <w:rFonts w:cstheme="minorHAnsi"/>
        </w:rPr>
      </w:pPr>
      <w:r w:rsidRPr="00EA6C18">
        <w:rPr>
          <w:rFonts w:cstheme="minorHAnsi"/>
        </w:rPr>
        <w:t xml:space="preserve">Raised water level area schemes cover 2529 ha, or 4.6% of the Parrett and Axe Brue Drainage Boards area. </w:t>
      </w:r>
    </w:p>
    <w:p w:rsidR="00EA6C18" w:rsidRPr="00EA6C18" w:rsidRDefault="00EA6C18" w:rsidP="00EA6C18">
      <w:pPr>
        <w:numPr>
          <w:ilvl w:val="0"/>
          <w:numId w:val="38"/>
        </w:numPr>
        <w:spacing w:before="240" w:after="0" w:line="240" w:lineRule="auto"/>
        <w:ind w:left="714" w:hanging="357"/>
        <w:jc w:val="both"/>
        <w:rPr>
          <w:rFonts w:cstheme="minorHAnsi"/>
        </w:rPr>
      </w:pPr>
      <w:r w:rsidRPr="00EA6C18">
        <w:rPr>
          <w:rFonts w:cstheme="minorHAnsi"/>
        </w:rPr>
        <w:t>The volume of water required to maintain raised water level areas in winter is equivalent to just 0.6% of maximum flood volume during winter 2013/14, or an increase in flood level of between 0.03 and 1.2 cm.</w:t>
      </w:r>
    </w:p>
    <w:p w:rsidR="00EA6C18" w:rsidRPr="00EA6C18" w:rsidRDefault="00EA6C18" w:rsidP="00EA6C18">
      <w:pPr>
        <w:numPr>
          <w:ilvl w:val="0"/>
          <w:numId w:val="38"/>
        </w:numPr>
        <w:spacing w:before="240" w:after="0" w:line="240" w:lineRule="auto"/>
        <w:ind w:left="714" w:hanging="357"/>
        <w:jc w:val="both"/>
        <w:rPr>
          <w:rFonts w:cstheme="minorHAnsi"/>
        </w:rPr>
      </w:pPr>
      <w:r w:rsidRPr="00EA6C18">
        <w:rPr>
          <w:rFonts w:cstheme="minorHAnsi"/>
        </w:rPr>
        <w:t>The volume of water required for agricultural water levels in summer is equivalent to 3.6% of the maximum flood volume during winter 2013/14, or an increase in flood level of between 2.1 and 6.2 cm.</w:t>
      </w:r>
    </w:p>
    <w:p w:rsidR="00EA6C18" w:rsidRPr="00EA6C18" w:rsidRDefault="00EA6C18" w:rsidP="00EA6C18">
      <w:pPr>
        <w:pStyle w:val="ListParagraph"/>
        <w:numPr>
          <w:ilvl w:val="0"/>
          <w:numId w:val="38"/>
        </w:numPr>
        <w:spacing w:before="240" w:after="0" w:line="240" w:lineRule="auto"/>
        <w:ind w:left="714" w:hanging="357"/>
        <w:contextualSpacing w:val="0"/>
        <w:jc w:val="both"/>
        <w:rPr>
          <w:rFonts w:cstheme="minorHAnsi"/>
        </w:rPr>
      </w:pPr>
      <w:r w:rsidRPr="00EA6C18">
        <w:rPr>
          <w:rFonts w:cstheme="minorHAnsi"/>
        </w:rPr>
        <w:t xml:space="preserve">For less severe flooding, where the flood level reaches the lowest road in an area, the volume of water required to maintain raised water level areas in winter is equivalent to 2.5% of the flood volume, or an increase in flood level of between 0.08 and 2.3 cm. In summer, this increases to 10.1% of the flood volume, or an increase in flood level of between 2.7 and 6.6 cm. </w:t>
      </w:r>
    </w:p>
    <w:p w:rsidR="00EA6C18" w:rsidRPr="00EA6C18" w:rsidRDefault="00EA6C18" w:rsidP="00EA6C18">
      <w:pPr>
        <w:pStyle w:val="ListParagraph"/>
        <w:numPr>
          <w:ilvl w:val="0"/>
          <w:numId w:val="38"/>
        </w:numPr>
        <w:spacing w:before="240" w:after="0" w:line="240" w:lineRule="auto"/>
        <w:ind w:left="714" w:hanging="357"/>
        <w:contextualSpacing w:val="0"/>
        <w:jc w:val="both"/>
        <w:rPr>
          <w:rFonts w:cstheme="minorHAnsi"/>
        </w:rPr>
      </w:pPr>
      <w:r w:rsidRPr="00EA6C18">
        <w:rPr>
          <w:rFonts w:cstheme="minorHAnsi"/>
        </w:rPr>
        <w:t>For moors that depend on pumping stations for drainage, the volume of water used to maintain raised water level areas in winter would take between 0.05 hours and 5.47 hours (average 3.5 hours) to evacuate using the permanent pumping station capacity.  This increases to between 7.1 and 25.1 hours (average 15.2 hours) to pump the volume of water required for agricultural water levels in summer.</w:t>
      </w:r>
    </w:p>
    <w:p w:rsidR="00EA6C18" w:rsidRPr="00EA6C18" w:rsidRDefault="00EA6C18" w:rsidP="004713CB">
      <w:pPr>
        <w:pStyle w:val="ListParagraph"/>
        <w:numPr>
          <w:ilvl w:val="0"/>
          <w:numId w:val="38"/>
        </w:numPr>
        <w:spacing w:before="240" w:after="0" w:line="240" w:lineRule="auto"/>
        <w:ind w:left="714" w:hanging="357"/>
        <w:contextualSpacing w:val="0"/>
        <w:jc w:val="both"/>
        <w:rPr>
          <w:rFonts w:cstheme="minorHAnsi"/>
        </w:rPr>
      </w:pPr>
      <w:r w:rsidRPr="00EA6C18">
        <w:rPr>
          <w:rFonts w:cstheme="minorHAnsi"/>
        </w:rPr>
        <w:t xml:space="preserve">The maximum storage capacity of ditches and soils </w:t>
      </w:r>
      <w:r w:rsidRPr="00EA6C18">
        <w:rPr>
          <w:rFonts w:eastAsia="Times New Roman" w:cstheme="minorHAnsi"/>
          <w:color w:val="000000"/>
        </w:rPr>
        <w:t>is equivalent to just 9.5% of the total rainfall that fell directly within the study area during December, January and February 2013-</w:t>
      </w:r>
    </w:p>
    <w:p w:rsidR="004713CB" w:rsidRPr="00EA6C18" w:rsidRDefault="008E6314" w:rsidP="00EA6C18">
      <w:pPr>
        <w:spacing w:before="240" w:after="0" w:line="240" w:lineRule="auto"/>
        <w:ind w:left="357"/>
        <w:jc w:val="both"/>
        <w:rPr>
          <w:rFonts w:cstheme="minorHAnsi"/>
          <w:b/>
        </w:rPr>
      </w:pPr>
      <w:r w:rsidRPr="00EA6C18">
        <w:rPr>
          <w:rFonts w:cstheme="minorHAnsi"/>
        </w:rPr>
        <w:t xml:space="preserve">In conclusion this assessment finds that in relation to the volumes of water that were present </w:t>
      </w:r>
      <w:r w:rsidR="00A90AAD" w:rsidRPr="00EA6C18">
        <w:rPr>
          <w:rFonts w:cstheme="minorHAnsi"/>
        </w:rPr>
        <w:t>during</w:t>
      </w:r>
      <w:r w:rsidRPr="00EA6C18">
        <w:rPr>
          <w:rFonts w:cstheme="minorHAnsi"/>
        </w:rPr>
        <w:t xml:space="preserve"> the winter 2013/2014 floods, the volume of water occupied by the RWLA and subsequent reduction in </w:t>
      </w:r>
      <w:r w:rsidR="00BB088B" w:rsidRPr="00EA6C18">
        <w:rPr>
          <w:rFonts w:cstheme="minorHAnsi"/>
        </w:rPr>
        <w:t xml:space="preserve">ditch </w:t>
      </w:r>
      <w:r w:rsidRPr="00EA6C18">
        <w:rPr>
          <w:rFonts w:cstheme="minorHAnsi"/>
        </w:rPr>
        <w:t xml:space="preserve">storage capacity represents a very small fraction of the total. Expressed both as a proportion of the theoretical maximum </w:t>
      </w:r>
      <w:r w:rsidR="00BB088B" w:rsidRPr="00EA6C18">
        <w:rPr>
          <w:rFonts w:cstheme="minorHAnsi"/>
        </w:rPr>
        <w:t xml:space="preserve">ditch </w:t>
      </w:r>
      <w:r w:rsidRPr="00EA6C18">
        <w:rPr>
          <w:rFonts w:cstheme="minorHAnsi"/>
        </w:rPr>
        <w:t>storage and as a reduction in flood level, the calculations presented here indicate that the areas managed with raised water levels have only a very minor impact on large flood event</w:t>
      </w:r>
      <w:r w:rsidR="00A90AAD" w:rsidRPr="00EA6C18">
        <w:rPr>
          <w:rFonts w:cstheme="minorHAnsi"/>
        </w:rPr>
        <w:t>s</w:t>
      </w:r>
      <w:r w:rsidRPr="00EA6C18">
        <w:rPr>
          <w:rFonts w:cstheme="minorHAnsi"/>
        </w:rPr>
        <w:t xml:space="preserve">. </w:t>
      </w:r>
      <w:r w:rsidR="004713CB" w:rsidRPr="00EA6C18">
        <w:rPr>
          <w:rFonts w:cstheme="minorHAnsi"/>
        </w:rPr>
        <w:t>Water levels for agriculture in summer occupy larger volumes, but these are still small compared to volumes of water stored on the moors during major flood events.</w:t>
      </w:r>
    </w:p>
    <w:p w:rsidR="001E6755" w:rsidRDefault="001E6755" w:rsidP="00657FED">
      <w:pPr>
        <w:jc w:val="both"/>
        <w:rPr>
          <w:b/>
        </w:rPr>
      </w:pPr>
      <w:r>
        <w:rPr>
          <w:b/>
        </w:rPr>
        <w:br w:type="page"/>
      </w:r>
    </w:p>
    <w:sdt>
      <w:sdtPr>
        <w:rPr>
          <w:rFonts w:asciiTheme="minorHAnsi" w:eastAsiaTheme="minorHAnsi" w:hAnsiTheme="minorHAnsi" w:cstheme="minorBidi"/>
          <w:b w:val="0"/>
          <w:bCs w:val="0"/>
          <w:color w:val="auto"/>
          <w:sz w:val="22"/>
          <w:szCs w:val="22"/>
          <w:lang w:val="en-GB" w:eastAsia="en-GB"/>
        </w:rPr>
        <w:id w:val="3105700"/>
        <w:docPartObj>
          <w:docPartGallery w:val="Table of Contents"/>
          <w:docPartUnique/>
        </w:docPartObj>
      </w:sdtPr>
      <w:sdtEndPr>
        <w:rPr>
          <w:rFonts w:eastAsiaTheme="minorEastAsia"/>
        </w:rPr>
      </w:sdtEndPr>
      <w:sdtContent>
        <w:p w:rsidR="00B4335D" w:rsidRDefault="00B4335D">
          <w:pPr>
            <w:pStyle w:val="TOCHeading"/>
          </w:pPr>
          <w:r>
            <w:t>Contents</w:t>
          </w:r>
        </w:p>
        <w:p w:rsidR="00B4335D" w:rsidRPr="00B4335D" w:rsidRDefault="00B4335D" w:rsidP="00B4335D">
          <w:pPr>
            <w:rPr>
              <w:lang w:val="en-US"/>
            </w:rPr>
          </w:pPr>
        </w:p>
        <w:p w:rsidR="00F54328" w:rsidRDefault="00251534">
          <w:pPr>
            <w:pStyle w:val="TOC2"/>
            <w:tabs>
              <w:tab w:val="right" w:leader="dot" w:pos="9016"/>
            </w:tabs>
            <w:rPr>
              <w:noProof/>
            </w:rPr>
          </w:pPr>
          <w:r>
            <w:fldChar w:fldCharType="begin"/>
          </w:r>
          <w:r w:rsidR="00B4335D">
            <w:instrText xml:space="preserve"> TOC \o "1-3" \h \z \u </w:instrText>
          </w:r>
          <w:r>
            <w:fldChar w:fldCharType="separate"/>
          </w:r>
          <w:hyperlink w:anchor="_Toc402956167" w:history="1">
            <w:r w:rsidR="00F54328" w:rsidRPr="00BF5926">
              <w:rPr>
                <w:rStyle w:val="Hyperlink"/>
                <w:noProof/>
              </w:rPr>
              <w:t>Executive Summary</w:t>
            </w:r>
            <w:r w:rsidR="00F54328">
              <w:rPr>
                <w:noProof/>
                <w:webHidden/>
              </w:rPr>
              <w:tab/>
            </w:r>
            <w:r w:rsidR="00F54328">
              <w:rPr>
                <w:noProof/>
                <w:webHidden/>
              </w:rPr>
              <w:fldChar w:fldCharType="begin"/>
            </w:r>
            <w:r w:rsidR="00F54328">
              <w:rPr>
                <w:noProof/>
                <w:webHidden/>
              </w:rPr>
              <w:instrText xml:space="preserve"> PAGEREF _Toc402956167 \h </w:instrText>
            </w:r>
            <w:r w:rsidR="00F54328">
              <w:rPr>
                <w:noProof/>
                <w:webHidden/>
              </w:rPr>
            </w:r>
            <w:r w:rsidR="00F54328">
              <w:rPr>
                <w:noProof/>
                <w:webHidden/>
              </w:rPr>
              <w:fldChar w:fldCharType="separate"/>
            </w:r>
            <w:r w:rsidR="000E193B">
              <w:rPr>
                <w:noProof/>
                <w:webHidden/>
              </w:rPr>
              <w:t>3</w:t>
            </w:r>
            <w:r w:rsidR="00F54328">
              <w:rPr>
                <w:noProof/>
                <w:webHidden/>
              </w:rPr>
              <w:fldChar w:fldCharType="end"/>
            </w:r>
          </w:hyperlink>
        </w:p>
        <w:p w:rsidR="00F54328" w:rsidRDefault="00EA6C18">
          <w:pPr>
            <w:pStyle w:val="TOC2"/>
            <w:tabs>
              <w:tab w:val="left" w:pos="660"/>
              <w:tab w:val="right" w:leader="dot" w:pos="9016"/>
            </w:tabs>
            <w:rPr>
              <w:noProof/>
            </w:rPr>
          </w:pPr>
          <w:hyperlink w:anchor="_Toc402956168" w:history="1">
            <w:r w:rsidR="00F54328" w:rsidRPr="00BF5926">
              <w:rPr>
                <w:rStyle w:val="Hyperlink"/>
                <w:noProof/>
              </w:rPr>
              <w:t>1.</w:t>
            </w:r>
            <w:r w:rsidR="00F54328">
              <w:rPr>
                <w:noProof/>
              </w:rPr>
              <w:tab/>
            </w:r>
            <w:r w:rsidR="00F54328" w:rsidRPr="00BF5926">
              <w:rPr>
                <w:rStyle w:val="Hyperlink"/>
                <w:noProof/>
              </w:rPr>
              <w:t>The purpose and scope of this document</w:t>
            </w:r>
            <w:r w:rsidR="00F54328">
              <w:rPr>
                <w:noProof/>
                <w:webHidden/>
              </w:rPr>
              <w:tab/>
            </w:r>
            <w:r w:rsidR="00F54328">
              <w:rPr>
                <w:noProof/>
                <w:webHidden/>
              </w:rPr>
              <w:fldChar w:fldCharType="begin"/>
            </w:r>
            <w:r w:rsidR="00F54328">
              <w:rPr>
                <w:noProof/>
                <w:webHidden/>
              </w:rPr>
              <w:instrText xml:space="preserve"> PAGEREF _Toc402956168 \h </w:instrText>
            </w:r>
            <w:r w:rsidR="00F54328">
              <w:rPr>
                <w:noProof/>
                <w:webHidden/>
              </w:rPr>
            </w:r>
            <w:r w:rsidR="00F54328">
              <w:rPr>
                <w:noProof/>
                <w:webHidden/>
              </w:rPr>
              <w:fldChar w:fldCharType="separate"/>
            </w:r>
            <w:r w:rsidR="000E193B">
              <w:rPr>
                <w:noProof/>
                <w:webHidden/>
              </w:rPr>
              <w:t>6</w:t>
            </w:r>
            <w:r w:rsidR="00F54328">
              <w:rPr>
                <w:noProof/>
                <w:webHidden/>
              </w:rPr>
              <w:fldChar w:fldCharType="end"/>
            </w:r>
          </w:hyperlink>
        </w:p>
        <w:p w:rsidR="00F54328" w:rsidRDefault="00EA6C18">
          <w:pPr>
            <w:pStyle w:val="TOC2"/>
            <w:tabs>
              <w:tab w:val="left" w:pos="660"/>
              <w:tab w:val="right" w:leader="dot" w:pos="9016"/>
            </w:tabs>
            <w:rPr>
              <w:noProof/>
            </w:rPr>
          </w:pPr>
          <w:hyperlink w:anchor="_Toc402956169" w:history="1">
            <w:r w:rsidR="00F54328" w:rsidRPr="00BF5926">
              <w:rPr>
                <w:rStyle w:val="Hyperlink"/>
                <w:noProof/>
              </w:rPr>
              <w:t>2.</w:t>
            </w:r>
            <w:r w:rsidR="00F54328">
              <w:rPr>
                <w:noProof/>
              </w:rPr>
              <w:tab/>
            </w:r>
            <w:r w:rsidR="00F54328" w:rsidRPr="00BF5926">
              <w:rPr>
                <w:rStyle w:val="Hyperlink"/>
                <w:noProof/>
              </w:rPr>
              <w:t>Background and introduction</w:t>
            </w:r>
            <w:r w:rsidR="00F54328">
              <w:rPr>
                <w:noProof/>
                <w:webHidden/>
              </w:rPr>
              <w:tab/>
            </w:r>
            <w:r w:rsidR="00F54328">
              <w:rPr>
                <w:noProof/>
                <w:webHidden/>
              </w:rPr>
              <w:fldChar w:fldCharType="begin"/>
            </w:r>
            <w:r w:rsidR="00F54328">
              <w:rPr>
                <w:noProof/>
                <w:webHidden/>
              </w:rPr>
              <w:instrText xml:space="preserve"> PAGEREF _Toc402956169 \h </w:instrText>
            </w:r>
            <w:r w:rsidR="00F54328">
              <w:rPr>
                <w:noProof/>
                <w:webHidden/>
              </w:rPr>
            </w:r>
            <w:r w:rsidR="00F54328">
              <w:rPr>
                <w:noProof/>
                <w:webHidden/>
              </w:rPr>
              <w:fldChar w:fldCharType="separate"/>
            </w:r>
            <w:r w:rsidR="000E193B">
              <w:rPr>
                <w:noProof/>
                <w:webHidden/>
              </w:rPr>
              <w:t>7</w:t>
            </w:r>
            <w:r w:rsidR="00F54328">
              <w:rPr>
                <w:noProof/>
                <w:webHidden/>
              </w:rPr>
              <w:fldChar w:fldCharType="end"/>
            </w:r>
          </w:hyperlink>
        </w:p>
        <w:p w:rsidR="00F54328" w:rsidRDefault="00EA6C18">
          <w:pPr>
            <w:pStyle w:val="TOC3"/>
            <w:tabs>
              <w:tab w:val="left" w:pos="1100"/>
              <w:tab w:val="right" w:leader="dot" w:pos="9016"/>
            </w:tabs>
            <w:rPr>
              <w:noProof/>
            </w:rPr>
          </w:pPr>
          <w:hyperlink w:anchor="_Toc402956170" w:history="1">
            <w:r w:rsidR="00F54328" w:rsidRPr="00BF5926">
              <w:rPr>
                <w:rStyle w:val="Hyperlink"/>
                <w:noProof/>
              </w:rPr>
              <w:t>2.1.</w:t>
            </w:r>
            <w:r w:rsidR="00F54328">
              <w:rPr>
                <w:noProof/>
              </w:rPr>
              <w:tab/>
            </w:r>
            <w:r w:rsidR="00F54328" w:rsidRPr="00BF5926">
              <w:rPr>
                <w:rStyle w:val="Hyperlink"/>
                <w:noProof/>
              </w:rPr>
              <w:t>The Drainage Network</w:t>
            </w:r>
            <w:r w:rsidR="00F54328">
              <w:rPr>
                <w:noProof/>
                <w:webHidden/>
              </w:rPr>
              <w:tab/>
            </w:r>
            <w:r w:rsidR="00F54328">
              <w:rPr>
                <w:noProof/>
                <w:webHidden/>
              </w:rPr>
              <w:fldChar w:fldCharType="begin"/>
            </w:r>
            <w:r w:rsidR="00F54328">
              <w:rPr>
                <w:noProof/>
                <w:webHidden/>
              </w:rPr>
              <w:instrText xml:space="preserve"> PAGEREF _Toc402956170 \h </w:instrText>
            </w:r>
            <w:r w:rsidR="00F54328">
              <w:rPr>
                <w:noProof/>
                <w:webHidden/>
              </w:rPr>
            </w:r>
            <w:r w:rsidR="00F54328">
              <w:rPr>
                <w:noProof/>
                <w:webHidden/>
              </w:rPr>
              <w:fldChar w:fldCharType="separate"/>
            </w:r>
            <w:r w:rsidR="000E193B">
              <w:rPr>
                <w:noProof/>
                <w:webHidden/>
              </w:rPr>
              <w:t>8</w:t>
            </w:r>
            <w:r w:rsidR="00F54328">
              <w:rPr>
                <w:noProof/>
                <w:webHidden/>
              </w:rPr>
              <w:fldChar w:fldCharType="end"/>
            </w:r>
          </w:hyperlink>
        </w:p>
        <w:p w:rsidR="00F54328" w:rsidRDefault="00EA6C18">
          <w:pPr>
            <w:pStyle w:val="TOC2"/>
            <w:tabs>
              <w:tab w:val="left" w:pos="660"/>
              <w:tab w:val="right" w:leader="dot" w:pos="9016"/>
            </w:tabs>
            <w:rPr>
              <w:noProof/>
            </w:rPr>
          </w:pPr>
          <w:hyperlink w:anchor="_Toc402956171" w:history="1">
            <w:r w:rsidR="00F54328" w:rsidRPr="00BF5926">
              <w:rPr>
                <w:rStyle w:val="Hyperlink"/>
                <w:noProof/>
              </w:rPr>
              <w:t>3.</w:t>
            </w:r>
            <w:r w:rsidR="00F54328">
              <w:rPr>
                <w:noProof/>
              </w:rPr>
              <w:tab/>
            </w:r>
            <w:r w:rsidR="00F54328" w:rsidRPr="00BF5926">
              <w:rPr>
                <w:rStyle w:val="Hyperlink"/>
                <w:noProof/>
              </w:rPr>
              <w:t>Hydrological Conceptualisation</w:t>
            </w:r>
            <w:r w:rsidR="00F54328">
              <w:rPr>
                <w:noProof/>
                <w:webHidden/>
              </w:rPr>
              <w:tab/>
            </w:r>
            <w:r w:rsidR="00F54328">
              <w:rPr>
                <w:noProof/>
                <w:webHidden/>
              </w:rPr>
              <w:fldChar w:fldCharType="begin"/>
            </w:r>
            <w:r w:rsidR="00F54328">
              <w:rPr>
                <w:noProof/>
                <w:webHidden/>
              </w:rPr>
              <w:instrText xml:space="preserve"> PAGEREF _Toc402956171 \h </w:instrText>
            </w:r>
            <w:r w:rsidR="00F54328">
              <w:rPr>
                <w:noProof/>
                <w:webHidden/>
              </w:rPr>
            </w:r>
            <w:r w:rsidR="00F54328">
              <w:rPr>
                <w:noProof/>
                <w:webHidden/>
              </w:rPr>
              <w:fldChar w:fldCharType="separate"/>
            </w:r>
            <w:r w:rsidR="000E193B">
              <w:rPr>
                <w:noProof/>
                <w:webHidden/>
              </w:rPr>
              <w:t>12</w:t>
            </w:r>
            <w:r w:rsidR="00F54328">
              <w:rPr>
                <w:noProof/>
                <w:webHidden/>
              </w:rPr>
              <w:fldChar w:fldCharType="end"/>
            </w:r>
          </w:hyperlink>
        </w:p>
        <w:p w:rsidR="00F54328" w:rsidRDefault="00EA6C18">
          <w:pPr>
            <w:pStyle w:val="TOC2"/>
            <w:tabs>
              <w:tab w:val="left" w:pos="660"/>
              <w:tab w:val="right" w:leader="dot" w:pos="9016"/>
            </w:tabs>
            <w:rPr>
              <w:noProof/>
            </w:rPr>
          </w:pPr>
          <w:hyperlink w:anchor="_Toc402956172" w:history="1">
            <w:r w:rsidR="00F54328" w:rsidRPr="00BF5926">
              <w:rPr>
                <w:rStyle w:val="Hyperlink"/>
                <w:noProof/>
              </w:rPr>
              <w:t>4.</w:t>
            </w:r>
            <w:r w:rsidR="00F54328">
              <w:rPr>
                <w:noProof/>
              </w:rPr>
              <w:tab/>
            </w:r>
            <w:r w:rsidR="00F54328" w:rsidRPr="00BF5926">
              <w:rPr>
                <w:rStyle w:val="Hyperlink"/>
                <w:noProof/>
              </w:rPr>
              <w:t>Storage component 1: the available volume in the surface water bodies</w:t>
            </w:r>
            <w:r w:rsidR="00F54328">
              <w:rPr>
                <w:noProof/>
                <w:webHidden/>
              </w:rPr>
              <w:tab/>
            </w:r>
            <w:r w:rsidR="00F54328">
              <w:rPr>
                <w:noProof/>
                <w:webHidden/>
              </w:rPr>
              <w:fldChar w:fldCharType="begin"/>
            </w:r>
            <w:r w:rsidR="00F54328">
              <w:rPr>
                <w:noProof/>
                <w:webHidden/>
              </w:rPr>
              <w:instrText xml:space="preserve"> PAGEREF _Toc402956172 \h </w:instrText>
            </w:r>
            <w:r w:rsidR="00F54328">
              <w:rPr>
                <w:noProof/>
                <w:webHidden/>
              </w:rPr>
            </w:r>
            <w:r w:rsidR="00F54328">
              <w:rPr>
                <w:noProof/>
                <w:webHidden/>
              </w:rPr>
              <w:fldChar w:fldCharType="separate"/>
            </w:r>
            <w:r w:rsidR="000E193B">
              <w:rPr>
                <w:noProof/>
                <w:webHidden/>
              </w:rPr>
              <w:t>16</w:t>
            </w:r>
            <w:r w:rsidR="00F54328">
              <w:rPr>
                <w:noProof/>
                <w:webHidden/>
              </w:rPr>
              <w:fldChar w:fldCharType="end"/>
            </w:r>
          </w:hyperlink>
        </w:p>
        <w:p w:rsidR="00F54328" w:rsidRDefault="00EA6C18">
          <w:pPr>
            <w:pStyle w:val="TOC2"/>
            <w:tabs>
              <w:tab w:val="left" w:pos="660"/>
              <w:tab w:val="right" w:leader="dot" w:pos="9016"/>
            </w:tabs>
            <w:rPr>
              <w:noProof/>
            </w:rPr>
          </w:pPr>
          <w:hyperlink w:anchor="_Toc402956173" w:history="1">
            <w:r w:rsidR="00F54328" w:rsidRPr="00BF5926">
              <w:rPr>
                <w:rStyle w:val="Hyperlink"/>
                <w:noProof/>
              </w:rPr>
              <w:t>5.</w:t>
            </w:r>
            <w:r w:rsidR="00F54328">
              <w:rPr>
                <w:noProof/>
              </w:rPr>
              <w:tab/>
            </w:r>
            <w:r w:rsidR="00F54328" w:rsidRPr="00BF5926">
              <w:rPr>
                <w:rStyle w:val="Hyperlink"/>
                <w:noProof/>
              </w:rPr>
              <w:t>Storage component 2: the available volume in the soil profile</w:t>
            </w:r>
            <w:r w:rsidR="00F54328">
              <w:rPr>
                <w:noProof/>
                <w:webHidden/>
              </w:rPr>
              <w:tab/>
            </w:r>
            <w:r w:rsidR="00F54328">
              <w:rPr>
                <w:noProof/>
                <w:webHidden/>
              </w:rPr>
              <w:fldChar w:fldCharType="begin"/>
            </w:r>
            <w:r w:rsidR="00F54328">
              <w:rPr>
                <w:noProof/>
                <w:webHidden/>
              </w:rPr>
              <w:instrText xml:space="preserve"> PAGEREF _Toc402956173 \h </w:instrText>
            </w:r>
            <w:r w:rsidR="00F54328">
              <w:rPr>
                <w:noProof/>
                <w:webHidden/>
              </w:rPr>
            </w:r>
            <w:r w:rsidR="00F54328">
              <w:rPr>
                <w:noProof/>
                <w:webHidden/>
              </w:rPr>
              <w:fldChar w:fldCharType="separate"/>
            </w:r>
            <w:r w:rsidR="000E193B">
              <w:rPr>
                <w:noProof/>
                <w:webHidden/>
              </w:rPr>
              <w:t>17</w:t>
            </w:r>
            <w:r w:rsidR="00F54328">
              <w:rPr>
                <w:noProof/>
                <w:webHidden/>
              </w:rPr>
              <w:fldChar w:fldCharType="end"/>
            </w:r>
          </w:hyperlink>
        </w:p>
        <w:p w:rsidR="00F54328" w:rsidRDefault="00EA6C18">
          <w:pPr>
            <w:pStyle w:val="TOC3"/>
            <w:tabs>
              <w:tab w:val="left" w:pos="1100"/>
              <w:tab w:val="right" w:leader="dot" w:pos="9016"/>
            </w:tabs>
            <w:rPr>
              <w:noProof/>
            </w:rPr>
          </w:pPr>
          <w:hyperlink w:anchor="_Toc402956174" w:history="1">
            <w:r w:rsidR="00F54328" w:rsidRPr="00BF5926">
              <w:rPr>
                <w:rStyle w:val="Hyperlink"/>
                <w:noProof/>
              </w:rPr>
              <w:t>5.1.</w:t>
            </w:r>
            <w:r w:rsidR="00F54328">
              <w:rPr>
                <w:noProof/>
              </w:rPr>
              <w:tab/>
            </w:r>
            <w:r w:rsidR="00F54328" w:rsidRPr="00BF5926">
              <w:rPr>
                <w:rStyle w:val="Hyperlink"/>
                <w:noProof/>
              </w:rPr>
              <w:t>The storage of water in the soil body</w:t>
            </w:r>
            <w:r w:rsidR="00F54328">
              <w:rPr>
                <w:noProof/>
                <w:webHidden/>
              </w:rPr>
              <w:tab/>
            </w:r>
            <w:r w:rsidR="00F54328">
              <w:rPr>
                <w:noProof/>
                <w:webHidden/>
              </w:rPr>
              <w:fldChar w:fldCharType="begin"/>
            </w:r>
            <w:r w:rsidR="00F54328">
              <w:rPr>
                <w:noProof/>
                <w:webHidden/>
              </w:rPr>
              <w:instrText xml:space="preserve"> PAGEREF _Toc402956174 \h </w:instrText>
            </w:r>
            <w:r w:rsidR="00F54328">
              <w:rPr>
                <w:noProof/>
                <w:webHidden/>
              </w:rPr>
            </w:r>
            <w:r w:rsidR="00F54328">
              <w:rPr>
                <w:noProof/>
                <w:webHidden/>
              </w:rPr>
              <w:fldChar w:fldCharType="separate"/>
            </w:r>
            <w:r w:rsidR="000E193B">
              <w:rPr>
                <w:noProof/>
                <w:webHidden/>
              </w:rPr>
              <w:t>17</w:t>
            </w:r>
            <w:r w:rsidR="00F54328">
              <w:rPr>
                <w:noProof/>
                <w:webHidden/>
              </w:rPr>
              <w:fldChar w:fldCharType="end"/>
            </w:r>
          </w:hyperlink>
        </w:p>
        <w:p w:rsidR="00F54328" w:rsidRDefault="00EA6C18">
          <w:pPr>
            <w:pStyle w:val="TOC3"/>
            <w:tabs>
              <w:tab w:val="left" w:pos="1100"/>
              <w:tab w:val="right" w:leader="dot" w:pos="9016"/>
            </w:tabs>
            <w:rPr>
              <w:noProof/>
            </w:rPr>
          </w:pPr>
          <w:hyperlink w:anchor="_Toc402956175" w:history="1">
            <w:r w:rsidR="00F54328" w:rsidRPr="00BF5926">
              <w:rPr>
                <w:rStyle w:val="Hyperlink"/>
                <w:noProof/>
              </w:rPr>
              <w:t>5.2.</w:t>
            </w:r>
            <w:r w:rsidR="00F54328">
              <w:rPr>
                <w:noProof/>
              </w:rPr>
              <w:tab/>
            </w:r>
            <w:r w:rsidR="00F54328" w:rsidRPr="00BF5926">
              <w:rPr>
                <w:rStyle w:val="Hyperlink"/>
                <w:noProof/>
              </w:rPr>
              <w:t>The impacts of drainage on the water storage capacity of peat soils</w:t>
            </w:r>
            <w:r w:rsidR="00F54328">
              <w:rPr>
                <w:noProof/>
                <w:webHidden/>
              </w:rPr>
              <w:tab/>
            </w:r>
            <w:r w:rsidR="00F54328">
              <w:rPr>
                <w:noProof/>
                <w:webHidden/>
              </w:rPr>
              <w:fldChar w:fldCharType="begin"/>
            </w:r>
            <w:r w:rsidR="00F54328">
              <w:rPr>
                <w:noProof/>
                <w:webHidden/>
              </w:rPr>
              <w:instrText xml:space="preserve"> PAGEREF _Toc402956175 \h </w:instrText>
            </w:r>
            <w:r w:rsidR="00F54328">
              <w:rPr>
                <w:noProof/>
                <w:webHidden/>
              </w:rPr>
            </w:r>
            <w:r w:rsidR="00F54328">
              <w:rPr>
                <w:noProof/>
                <w:webHidden/>
              </w:rPr>
              <w:fldChar w:fldCharType="separate"/>
            </w:r>
            <w:r w:rsidR="000E193B">
              <w:rPr>
                <w:noProof/>
                <w:webHidden/>
              </w:rPr>
              <w:t>18</w:t>
            </w:r>
            <w:r w:rsidR="00F54328">
              <w:rPr>
                <w:noProof/>
                <w:webHidden/>
              </w:rPr>
              <w:fldChar w:fldCharType="end"/>
            </w:r>
          </w:hyperlink>
        </w:p>
        <w:p w:rsidR="00F54328" w:rsidRDefault="00EA6C18">
          <w:pPr>
            <w:pStyle w:val="TOC3"/>
            <w:tabs>
              <w:tab w:val="left" w:pos="1100"/>
              <w:tab w:val="right" w:leader="dot" w:pos="9016"/>
            </w:tabs>
            <w:rPr>
              <w:noProof/>
            </w:rPr>
          </w:pPr>
          <w:hyperlink w:anchor="_Toc402956176" w:history="1">
            <w:r w:rsidR="00F54328" w:rsidRPr="00BF5926">
              <w:rPr>
                <w:rStyle w:val="Hyperlink"/>
                <w:noProof/>
              </w:rPr>
              <w:t>5.3.</w:t>
            </w:r>
            <w:r w:rsidR="00F54328">
              <w:rPr>
                <w:noProof/>
              </w:rPr>
              <w:tab/>
            </w:r>
            <w:r w:rsidR="00F54328" w:rsidRPr="00BF5926">
              <w:rPr>
                <w:rStyle w:val="Hyperlink"/>
                <w:noProof/>
              </w:rPr>
              <w:t>Determination of drainable porosity</w:t>
            </w:r>
            <w:r w:rsidR="00F54328">
              <w:rPr>
                <w:noProof/>
                <w:webHidden/>
              </w:rPr>
              <w:tab/>
            </w:r>
            <w:r w:rsidR="00F54328">
              <w:rPr>
                <w:noProof/>
                <w:webHidden/>
              </w:rPr>
              <w:fldChar w:fldCharType="begin"/>
            </w:r>
            <w:r w:rsidR="00F54328">
              <w:rPr>
                <w:noProof/>
                <w:webHidden/>
              </w:rPr>
              <w:instrText xml:space="preserve"> PAGEREF _Toc402956176 \h </w:instrText>
            </w:r>
            <w:r w:rsidR="00F54328">
              <w:rPr>
                <w:noProof/>
                <w:webHidden/>
              </w:rPr>
            </w:r>
            <w:r w:rsidR="00F54328">
              <w:rPr>
                <w:noProof/>
                <w:webHidden/>
              </w:rPr>
              <w:fldChar w:fldCharType="separate"/>
            </w:r>
            <w:r w:rsidR="000E193B">
              <w:rPr>
                <w:noProof/>
                <w:webHidden/>
              </w:rPr>
              <w:t>19</w:t>
            </w:r>
            <w:r w:rsidR="00F54328">
              <w:rPr>
                <w:noProof/>
                <w:webHidden/>
              </w:rPr>
              <w:fldChar w:fldCharType="end"/>
            </w:r>
          </w:hyperlink>
        </w:p>
        <w:p w:rsidR="00F54328" w:rsidRDefault="00EA6C18">
          <w:pPr>
            <w:pStyle w:val="TOC2"/>
            <w:tabs>
              <w:tab w:val="left" w:pos="660"/>
              <w:tab w:val="right" w:leader="dot" w:pos="9016"/>
            </w:tabs>
            <w:rPr>
              <w:noProof/>
            </w:rPr>
          </w:pPr>
          <w:hyperlink w:anchor="_Toc402956177" w:history="1">
            <w:r w:rsidR="00F54328" w:rsidRPr="00BF5926">
              <w:rPr>
                <w:rStyle w:val="Hyperlink"/>
                <w:noProof/>
              </w:rPr>
              <w:t>6.</w:t>
            </w:r>
            <w:r w:rsidR="00F54328">
              <w:rPr>
                <w:noProof/>
              </w:rPr>
              <w:tab/>
            </w:r>
            <w:r w:rsidR="00F54328" w:rsidRPr="00BF5926">
              <w:rPr>
                <w:rStyle w:val="Hyperlink"/>
                <w:noProof/>
              </w:rPr>
              <w:t>Water storage in the soil body: the values to use in this study</w:t>
            </w:r>
            <w:r w:rsidR="00F54328">
              <w:rPr>
                <w:noProof/>
                <w:webHidden/>
              </w:rPr>
              <w:tab/>
            </w:r>
            <w:r w:rsidR="00F54328">
              <w:rPr>
                <w:noProof/>
                <w:webHidden/>
              </w:rPr>
              <w:fldChar w:fldCharType="begin"/>
            </w:r>
            <w:r w:rsidR="00F54328">
              <w:rPr>
                <w:noProof/>
                <w:webHidden/>
              </w:rPr>
              <w:instrText xml:space="preserve"> PAGEREF _Toc402956177 \h </w:instrText>
            </w:r>
            <w:r w:rsidR="00F54328">
              <w:rPr>
                <w:noProof/>
                <w:webHidden/>
              </w:rPr>
            </w:r>
            <w:r w:rsidR="00F54328">
              <w:rPr>
                <w:noProof/>
                <w:webHidden/>
              </w:rPr>
              <w:fldChar w:fldCharType="separate"/>
            </w:r>
            <w:r w:rsidR="000E193B">
              <w:rPr>
                <w:noProof/>
                <w:webHidden/>
              </w:rPr>
              <w:t>23</w:t>
            </w:r>
            <w:r w:rsidR="00F54328">
              <w:rPr>
                <w:noProof/>
                <w:webHidden/>
              </w:rPr>
              <w:fldChar w:fldCharType="end"/>
            </w:r>
          </w:hyperlink>
        </w:p>
        <w:p w:rsidR="00F54328" w:rsidRDefault="00EA6C18">
          <w:pPr>
            <w:pStyle w:val="TOC2"/>
            <w:tabs>
              <w:tab w:val="left" w:pos="660"/>
              <w:tab w:val="right" w:leader="dot" w:pos="9016"/>
            </w:tabs>
            <w:rPr>
              <w:noProof/>
            </w:rPr>
          </w:pPr>
          <w:hyperlink w:anchor="_Toc402956178" w:history="1">
            <w:r w:rsidR="00F54328" w:rsidRPr="00BF5926">
              <w:rPr>
                <w:rStyle w:val="Hyperlink"/>
                <w:noProof/>
              </w:rPr>
              <w:t>7.</w:t>
            </w:r>
            <w:r w:rsidR="00F54328">
              <w:rPr>
                <w:noProof/>
              </w:rPr>
              <w:tab/>
            </w:r>
            <w:r w:rsidR="00F54328" w:rsidRPr="00BF5926">
              <w:rPr>
                <w:rStyle w:val="Hyperlink"/>
                <w:noProof/>
              </w:rPr>
              <w:t>The movement of water into and out of the soil body</w:t>
            </w:r>
            <w:r w:rsidR="00F54328">
              <w:rPr>
                <w:noProof/>
                <w:webHidden/>
              </w:rPr>
              <w:tab/>
            </w:r>
            <w:r w:rsidR="00F54328">
              <w:rPr>
                <w:noProof/>
                <w:webHidden/>
              </w:rPr>
              <w:fldChar w:fldCharType="begin"/>
            </w:r>
            <w:r w:rsidR="00F54328">
              <w:rPr>
                <w:noProof/>
                <w:webHidden/>
              </w:rPr>
              <w:instrText xml:space="preserve"> PAGEREF _Toc402956178 \h </w:instrText>
            </w:r>
            <w:r w:rsidR="00F54328">
              <w:rPr>
                <w:noProof/>
                <w:webHidden/>
              </w:rPr>
            </w:r>
            <w:r w:rsidR="00F54328">
              <w:rPr>
                <w:noProof/>
                <w:webHidden/>
              </w:rPr>
              <w:fldChar w:fldCharType="separate"/>
            </w:r>
            <w:r w:rsidR="000E193B">
              <w:rPr>
                <w:noProof/>
                <w:webHidden/>
              </w:rPr>
              <w:t>24</w:t>
            </w:r>
            <w:r w:rsidR="00F54328">
              <w:rPr>
                <w:noProof/>
                <w:webHidden/>
              </w:rPr>
              <w:fldChar w:fldCharType="end"/>
            </w:r>
          </w:hyperlink>
        </w:p>
        <w:p w:rsidR="00F54328" w:rsidRDefault="00EA6C18">
          <w:pPr>
            <w:pStyle w:val="TOC2"/>
            <w:tabs>
              <w:tab w:val="left" w:pos="660"/>
              <w:tab w:val="right" w:leader="dot" w:pos="9016"/>
            </w:tabs>
            <w:rPr>
              <w:noProof/>
            </w:rPr>
          </w:pPr>
          <w:hyperlink w:anchor="_Toc402956179" w:history="1">
            <w:r w:rsidR="00F54328" w:rsidRPr="00BF5926">
              <w:rPr>
                <w:rStyle w:val="Hyperlink"/>
                <w:noProof/>
              </w:rPr>
              <w:t>8.</w:t>
            </w:r>
            <w:r w:rsidR="00F54328">
              <w:rPr>
                <w:noProof/>
              </w:rPr>
              <w:tab/>
            </w:r>
            <w:r w:rsidR="00F54328" w:rsidRPr="00BF5926">
              <w:rPr>
                <w:rStyle w:val="Hyperlink"/>
                <w:noProof/>
              </w:rPr>
              <w:t>The movement of water into and out of the soil body: the values to use in this study</w:t>
            </w:r>
            <w:r w:rsidR="00F54328">
              <w:rPr>
                <w:noProof/>
                <w:webHidden/>
              </w:rPr>
              <w:tab/>
            </w:r>
            <w:r w:rsidR="00F54328">
              <w:rPr>
                <w:noProof/>
                <w:webHidden/>
              </w:rPr>
              <w:fldChar w:fldCharType="begin"/>
            </w:r>
            <w:r w:rsidR="00F54328">
              <w:rPr>
                <w:noProof/>
                <w:webHidden/>
              </w:rPr>
              <w:instrText xml:space="preserve"> PAGEREF _Toc402956179 \h </w:instrText>
            </w:r>
            <w:r w:rsidR="00F54328">
              <w:rPr>
                <w:noProof/>
                <w:webHidden/>
              </w:rPr>
            </w:r>
            <w:r w:rsidR="00F54328">
              <w:rPr>
                <w:noProof/>
                <w:webHidden/>
              </w:rPr>
              <w:fldChar w:fldCharType="separate"/>
            </w:r>
            <w:r w:rsidR="000E193B">
              <w:rPr>
                <w:noProof/>
                <w:webHidden/>
              </w:rPr>
              <w:t>28</w:t>
            </w:r>
            <w:r w:rsidR="00F54328">
              <w:rPr>
                <w:noProof/>
                <w:webHidden/>
              </w:rPr>
              <w:fldChar w:fldCharType="end"/>
            </w:r>
          </w:hyperlink>
        </w:p>
        <w:p w:rsidR="00F54328" w:rsidRDefault="00EA6C18">
          <w:pPr>
            <w:pStyle w:val="TOC2"/>
            <w:tabs>
              <w:tab w:val="left" w:pos="660"/>
              <w:tab w:val="right" w:leader="dot" w:pos="9016"/>
            </w:tabs>
            <w:rPr>
              <w:noProof/>
            </w:rPr>
          </w:pPr>
          <w:hyperlink w:anchor="_Toc402956180" w:history="1">
            <w:r w:rsidR="00F54328" w:rsidRPr="00BF5926">
              <w:rPr>
                <w:rStyle w:val="Hyperlink"/>
                <w:noProof/>
              </w:rPr>
              <w:t>9.</w:t>
            </w:r>
            <w:r w:rsidR="00F54328">
              <w:rPr>
                <w:noProof/>
              </w:rPr>
              <w:tab/>
            </w:r>
            <w:r w:rsidR="00F54328" w:rsidRPr="00BF5926">
              <w:rPr>
                <w:rStyle w:val="Hyperlink"/>
                <w:noProof/>
              </w:rPr>
              <w:t>Calculation of ditch storage capacity</w:t>
            </w:r>
            <w:r w:rsidR="00F54328">
              <w:rPr>
                <w:noProof/>
                <w:webHidden/>
              </w:rPr>
              <w:tab/>
            </w:r>
            <w:r w:rsidR="00F54328">
              <w:rPr>
                <w:noProof/>
                <w:webHidden/>
              </w:rPr>
              <w:fldChar w:fldCharType="begin"/>
            </w:r>
            <w:r w:rsidR="00F54328">
              <w:rPr>
                <w:noProof/>
                <w:webHidden/>
              </w:rPr>
              <w:instrText xml:space="preserve"> PAGEREF _Toc402956180 \h </w:instrText>
            </w:r>
            <w:r w:rsidR="00F54328">
              <w:rPr>
                <w:noProof/>
                <w:webHidden/>
              </w:rPr>
            </w:r>
            <w:r w:rsidR="00F54328">
              <w:rPr>
                <w:noProof/>
                <w:webHidden/>
              </w:rPr>
              <w:fldChar w:fldCharType="separate"/>
            </w:r>
            <w:r w:rsidR="000E193B">
              <w:rPr>
                <w:noProof/>
                <w:webHidden/>
              </w:rPr>
              <w:t>29</w:t>
            </w:r>
            <w:r w:rsidR="00F54328">
              <w:rPr>
                <w:noProof/>
                <w:webHidden/>
              </w:rPr>
              <w:fldChar w:fldCharType="end"/>
            </w:r>
          </w:hyperlink>
        </w:p>
        <w:p w:rsidR="00F54328" w:rsidRDefault="00EA6C18">
          <w:pPr>
            <w:pStyle w:val="TOC2"/>
            <w:tabs>
              <w:tab w:val="left" w:pos="880"/>
              <w:tab w:val="right" w:leader="dot" w:pos="9016"/>
            </w:tabs>
            <w:rPr>
              <w:noProof/>
            </w:rPr>
          </w:pPr>
          <w:hyperlink w:anchor="_Toc402956181" w:history="1">
            <w:r w:rsidR="00F54328" w:rsidRPr="00BF5926">
              <w:rPr>
                <w:rStyle w:val="Hyperlink"/>
                <w:noProof/>
              </w:rPr>
              <w:t>10.</w:t>
            </w:r>
            <w:r w:rsidR="00F54328">
              <w:rPr>
                <w:noProof/>
              </w:rPr>
              <w:tab/>
            </w:r>
            <w:r w:rsidR="00F54328" w:rsidRPr="00BF5926">
              <w:rPr>
                <w:rStyle w:val="Hyperlink"/>
                <w:noProof/>
              </w:rPr>
              <w:t>Results and analysis</w:t>
            </w:r>
            <w:r w:rsidR="00F54328">
              <w:rPr>
                <w:noProof/>
                <w:webHidden/>
              </w:rPr>
              <w:tab/>
            </w:r>
            <w:r w:rsidR="00F54328">
              <w:rPr>
                <w:noProof/>
                <w:webHidden/>
              </w:rPr>
              <w:fldChar w:fldCharType="begin"/>
            </w:r>
            <w:r w:rsidR="00F54328">
              <w:rPr>
                <w:noProof/>
                <w:webHidden/>
              </w:rPr>
              <w:instrText xml:space="preserve"> PAGEREF _Toc402956181 \h </w:instrText>
            </w:r>
            <w:r w:rsidR="00F54328">
              <w:rPr>
                <w:noProof/>
                <w:webHidden/>
              </w:rPr>
            </w:r>
            <w:r w:rsidR="00F54328">
              <w:rPr>
                <w:noProof/>
                <w:webHidden/>
              </w:rPr>
              <w:fldChar w:fldCharType="separate"/>
            </w:r>
            <w:r w:rsidR="000E193B">
              <w:rPr>
                <w:noProof/>
                <w:webHidden/>
              </w:rPr>
              <w:t>35</w:t>
            </w:r>
            <w:r w:rsidR="00F54328">
              <w:rPr>
                <w:noProof/>
                <w:webHidden/>
              </w:rPr>
              <w:fldChar w:fldCharType="end"/>
            </w:r>
          </w:hyperlink>
        </w:p>
        <w:p w:rsidR="00F54328" w:rsidRDefault="00EA6C18">
          <w:pPr>
            <w:pStyle w:val="TOC2"/>
            <w:tabs>
              <w:tab w:val="left" w:pos="880"/>
              <w:tab w:val="right" w:leader="dot" w:pos="9016"/>
            </w:tabs>
            <w:rPr>
              <w:noProof/>
            </w:rPr>
          </w:pPr>
          <w:hyperlink w:anchor="_Toc402956182" w:history="1">
            <w:r w:rsidR="00F54328" w:rsidRPr="00BF5926">
              <w:rPr>
                <w:rStyle w:val="Hyperlink"/>
                <w:noProof/>
              </w:rPr>
              <w:t>11.</w:t>
            </w:r>
            <w:r w:rsidR="00F54328">
              <w:rPr>
                <w:noProof/>
              </w:rPr>
              <w:tab/>
            </w:r>
            <w:r w:rsidR="00F54328" w:rsidRPr="00BF5926">
              <w:rPr>
                <w:rStyle w:val="Hyperlink"/>
                <w:noProof/>
              </w:rPr>
              <w:t>Summary and Conclusion</w:t>
            </w:r>
            <w:r w:rsidR="00F54328">
              <w:rPr>
                <w:noProof/>
                <w:webHidden/>
              </w:rPr>
              <w:tab/>
            </w:r>
            <w:r w:rsidR="00F54328">
              <w:rPr>
                <w:noProof/>
                <w:webHidden/>
              </w:rPr>
              <w:fldChar w:fldCharType="begin"/>
            </w:r>
            <w:r w:rsidR="00F54328">
              <w:rPr>
                <w:noProof/>
                <w:webHidden/>
              </w:rPr>
              <w:instrText xml:space="preserve"> PAGEREF _Toc402956182 \h </w:instrText>
            </w:r>
            <w:r w:rsidR="00F54328">
              <w:rPr>
                <w:noProof/>
                <w:webHidden/>
              </w:rPr>
            </w:r>
            <w:r w:rsidR="00F54328">
              <w:rPr>
                <w:noProof/>
                <w:webHidden/>
              </w:rPr>
              <w:fldChar w:fldCharType="separate"/>
            </w:r>
            <w:r w:rsidR="000E193B">
              <w:rPr>
                <w:noProof/>
                <w:webHidden/>
              </w:rPr>
              <w:t>40</w:t>
            </w:r>
            <w:r w:rsidR="00F54328">
              <w:rPr>
                <w:noProof/>
                <w:webHidden/>
              </w:rPr>
              <w:fldChar w:fldCharType="end"/>
            </w:r>
          </w:hyperlink>
        </w:p>
        <w:p w:rsidR="00F54328" w:rsidRDefault="00EA6C18">
          <w:pPr>
            <w:pStyle w:val="TOC2"/>
            <w:tabs>
              <w:tab w:val="right" w:leader="dot" w:pos="9016"/>
            </w:tabs>
            <w:rPr>
              <w:noProof/>
            </w:rPr>
          </w:pPr>
          <w:hyperlink w:anchor="_Toc402956183" w:history="1">
            <w:r w:rsidR="00F54328" w:rsidRPr="00BF5926">
              <w:rPr>
                <w:rStyle w:val="Hyperlink"/>
                <w:noProof/>
              </w:rPr>
              <w:t>References</w:t>
            </w:r>
            <w:r w:rsidR="00F54328">
              <w:rPr>
                <w:noProof/>
                <w:webHidden/>
              </w:rPr>
              <w:tab/>
            </w:r>
            <w:r w:rsidR="00F54328">
              <w:rPr>
                <w:noProof/>
                <w:webHidden/>
              </w:rPr>
              <w:fldChar w:fldCharType="begin"/>
            </w:r>
            <w:r w:rsidR="00F54328">
              <w:rPr>
                <w:noProof/>
                <w:webHidden/>
              </w:rPr>
              <w:instrText xml:space="preserve"> PAGEREF _Toc402956183 \h </w:instrText>
            </w:r>
            <w:r w:rsidR="00F54328">
              <w:rPr>
                <w:noProof/>
                <w:webHidden/>
              </w:rPr>
            </w:r>
            <w:r w:rsidR="00F54328">
              <w:rPr>
                <w:noProof/>
                <w:webHidden/>
              </w:rPr>
              <w:fldChar w:fldCharType="separate"/>
            </w:r>
            <w:r w:rsidR="000E193B">
              <w:rPr>
                <w:noProof/>
                <w:webHidden/>
              </w:rPr>
              <w:t>42</w:t>
            </w:r>
            <w:r w:rsidR="00F54328">
              <w:rPr>
                <w:noProof/>
                <w:webHidden/>
              </w:rPr>
              <w:fldChar w:fldCharType="end"/>
            </w:r>
          </w:hyperlink>
        </w:p>
        <w:p w:rsidR="00B4335D" w:rsidRDefault="00251534">
          <w:r>
            <w:fldChar w:fldCharType="end"/>
          </w:r>
        </w:p>
      </w:sdtContent>
    </w:sdt>
    <w:p w:rsidR="00E950FA" w:rsidRDefault="00E950FA">
      <w:pPr>
        <w:rPr>
          <w:b/>
        </w:rPr>
        <w:sectPr w:rsidR="00E950FA" w:rsidSect="00364FA2">
          <w:footerReference w:type="default" r:id="rId10"/>
          <w:pgSz w:w="11906" w:h="16838"/>
          <w:pgMar w:top="1440" w:right="1440" w:bottom="1440" w:left="1440" w:header="708" w:footer="708" w:gutter="0"/>
          <w:cols w:space="708"/>
          <w:docGrid w:linePitch="360"/>
        </w:sectPr>
      </w:pPr>
    </w:p>
    <w:p w:rsidR="001E6755" w:rsidRDefault="001E6755">
      <w:pPr>
        <w:rPr>
          <w:b/>
        </w:rPr>
      </w:pPr>
    </w:p>
    <w:p w:rsidR="001E6755" w:rsidRDefault="001E6755">
      <w:pPr>
        <w:rPr>
          <w:b/>
        </w:rPr>
      </w:pPr>
      <w:r>
        <w:rPr>
          <w:b/>
        </w:rPr>
        <w:br w:type="page"/>
      </w:r>
    </w:p>
    <w:p w:rsidR="001E6755" w:rsidRDefault="001E6755" w:rsidP="00E64E5A">
      <w:pPr>
        <w:pStyle w:val="Heading2"/>
        <w:numPr>
          <w:ilvl w:val="0"/>
          <w:numId w:val="16"/>
        </w:numPr>
      </w:pPr>
      <w:bookmarkStart w:id="1" w:name="_Toc402956168"/>
      <w:r>
        <w:lastRenderedPageBreak/>
        <w:t>The purpose and scope of this document</w:t>
      </w:r>
      <w:bookmarkEnd w:id="1"/>
    </w:p>
    <w:p w:rsidR="001E6755" w:rsidRDefault="001E6755">
      <w:pPr>
        <w:rPr>
          <w:b/>
        </w:rPr>
      </w:pPr>
    </w:p>
    <w:p w:rsidR="00925676" w:rsidRDefault="001E6755" w:rsidP="00925676">
      <w:pPr>
        <w:jc w:val="both"/>
      </w:pPr>
      <w:r>
        <w:t xml:space="preserve">This document </w:t>
      </w:r>
      <w:r w:rsidR="00EB35F0">
        <w:t>addresses some of the issues of flood water and its management on the Somerset Levels and Moors.</w:t>
      </w:r>
      <w:r>
        <w:t xml:space="preserve"> </w:t>
      </w:r>
      <w:r w:rsidR="00925676">
        <w:t xml:space="preserve">Particular attention is paid to the storage of water in the ditch network and adjacent soil body, and how the management of water in the ditch network might affect storage volume. </w:t>
      </w:r>
      <w:r w:rsidR="00DD010E">
        <w:t xml:space="preserve">This document addresses the question ‘does raising water level in ditches in conservation areas reduce flood storage on the Somerset Levels and Moors?’ </w:t>
      </w:r>
      <w:r w:rsidR="00925676">
        <w:t xml:space="preserve">A key output of this report is an assessment of the role of ditch management in the </w:t>
      </w:r>
      <w:r w:rsidR="0025548B">
        <w:t>severity</w:t>
      </w:r>
      <w:r w:rsidR="00925676">
        <w:t xml:space="preserve"> of flood events and whether certain management approaches might either mitigate or exacerbate flood risk. </w:t>
      </w:r>
      <w:r w:rsidR="00DD010E">
        <w:t>A spreadsheet-based model was developed to quantify the ditch storage under different water level management conditions, and this is an additional output of this study.</w:t>
      </w:r>
    </w:p>
    <w:p w:rsidR="00DD010E" w:rsidRDefault="00925676" w:rsidP="00925676">
      <w:pPr>
        <w:jc w:val="both"/>
      </w:pPr>
      <w:r>
        <w:t xml:space="preserve">There is an extensive body of literature on the hydrology of the Somerset Levels and Moors and this </w:t>
      </w:r>
      <w:r w:rsidR="00015842">
        <w:t>has</w:t>
      </w:r>
      <w:r>
        <w:t xml:space="preserve"> be</w:t>
      </w:r>
      <w:r w:rsidR="00015842">
        <w:t>en</w:t>
      </w:r>
      <w:r>
        <w:t xml:space="preserve"> reviewed and summarised in this document. Great effort </w:t>
      </w:r>
      <w:r w:rsidR="00015842">
        <w:t>has been</w:t>
      </w:r>
      <w:r>
        <w:t xml:space="preserve"> taken to present the information in an easily understandable manner so that the key messages are accessible to those without a particular background or interest in wetland hydrology. For those who wish to investigate further, a clear link between conclusions drawn and underlying </w:t>
      </w:r>
      <w:r w:rsidR="002F7048">
        <w:t>text will be provided and relevant extracts from key texts will be included. A full reference list is also provided.</w:t>
      </w:r>
    </w:p>
    <w:p w:rsidR="00DD010E" w:rsidRPr="00DD010E" w:rsidRDefault="00DD010E" w:rsidP="00925676">
      <w:pPr>
        <w:jc w:val="both"/>
      </w:pPr>
    </w:p>
    <w:p w:rsidR="001E6755" w:rsidRDefault="001E6755">
      <w:pPr>
        <w:rPr>
          <w:b/>
        </w:rPr>
      </w:pPr>
      <w:r>
        <w:rPr>
          <w:b/>
        </w:rPr>
        <w:br w:type="page"/>
      </w:r>
    </w:p>
    <w:p w:rsidR="00BF2F88" w:rsidRDefault="00BF2F88" w:rsidP="00B4335D">
      <w:pPr>
        <w:pStyle w:val="Heading2"/>
        <w:numPr>
          <w:ilvl w:val="0"/>
          <w:numId w:val="16"/>
        </w:numPr>
      </w:pPr>
      <w:bookmarkStart w:id="2" w:name="_Toc402956169"/>
      <w:r>
        <w:lastRenderedPageBreak/>
        <w:t>Background and introduction</w:t>
      </w:r>
      <w:bookmarkEnd w:id="2"/>
    </w:p>
    <w:p w:rsidR="00B4335D" w:rsidRDefault="00B4335D" w:rsidP="005946AB">
      <w:pPr>
        <w:jc w:val="both"/>
      </w:pPr>
    </w:p>
    <w:p w:rsidR="00261B7B" w:rsidRDefault="003D3DC8" w:rsidP="005946AB">
      <w:pPr>
        <w:jc w:val="both"/>
      </w:pPr>
      <w:r>
        <w:t>The Somerset Levels and Moors</w:t>
      </w:r>
      <w:r w:rsidRPr="003D3DC8">
        <w:t xml:space="preserve"> </w:t>
      </w:r>
      <w:r>
        <w:t>sit in the bottom of what is in effect an impermeable bowl</w:t>
      </w:r>
      <w:r w:rsidR="00BD7817">
        <w:t xml:space="preserve">. The organic peat soils that cover much of the area </w:t>
      </w:r>
      <w:r w:rsidR="00FB2504">
        <w:t>sit on top of</w:t>
      </w:r>
      <w:r w:rsidR="00BD7817">
        <w:t xml:space="preserve"> marine silts and clays that hydrologically isolate the peat from the underlying strata. The area</w:t>
      </w:r>
      <w:r w:rsidR="00261B7B">
        <w:t xml:space="preserve"> </w:t>
      </w:r>
      <w:r w:rsidR="00BC1953">
        <w:t>receive</w:t>
      </w:r>
      <w:r w:rsidR="00BD7817">
        <w:t>s</w:t>
      </w:r>
      <w:r w:rsidR="00261B7B">
        <w:t xml:space="preserve"> </w:t>
      </w:r>
      <w:r w:rsidR="005946AB">
        <w:t xml:space="preserve">surface and groundwater </w:t>
      </w:r>
      <w:r w:rsidR="00261B7B">
        <w:t>water</w:t>
      </w:r>
      <w:r w:rsidR="00BD7817">
        <w:t xml:space="preserve"> from the surrounding uplands</w:t>
      </w:r>
      <w:r w:rsidR="000F0CCA">
        <w:t>.</w:t>
      </w:r>
      <w:r>
        <w:t xml:space="preserve"> R</w:t>
      </w:r>
      <w:r w:rsidR="00BC1953">
        <w:t xml:space="preserve">ain falling on the </w:t>
      </w:r>
      <w:r w:rsidR="005946AB">
        <w:t xml:space="preserve">Mendip Hills to the north, the West Wiltshire Downs to the east, the Blackdown Hills to the south and Quantock Hills to the west </w:t>
      </w:r>
      <w:r>
        <w:t>will either infiltrate and recharge the groundwater system or find its way to</w:t>
      </w:r>
      <w:r w:rsidR="00BC1953">
        <w:t xml:space="preserve"> the network of channels that</w:t>
      </w:r>
      <w:r>
        <w:t xml:space="preserve"> pass through the Levels and Moors before ultimately entering</w:t>
      </w:r>
      <w:r w:rsidR="00BC1953">
        <w:t xml:space="preserve"> the </w:t>
      </w:r>
      <w:r>
        <w:t>Bristol Channel</w:t>
      </w:r>
      <w:r w:rsidR="00BC1953">
        <w:t xml:space="preserve"> </w:t>
      </w:r>
      <w:r>
        <w:t>(Figure 1). Areas of groun</w:t>
      </w:r>
      <w:r w:rsidR="00BD7817">
        <w:t>dwater upwelling (e.g. springs) typically found alon</w:t>
      </w:r>
      <w:r w:rsidR="00FB2504">
        <w:t>g the base of hillslope ridges,</w:t>
      </w:r>
      <w:r>
        <w:t xml:space="preserve"> also contribute water </w:t>
      </w:r>
      <w:r w:rsidR="00BD7817">
        <w:t>to</w:t>
      </w:r>
      <w:r>
        <w:t xml:space="preserve"> the surface water system. </w:t>
      </w:r>
    </w:p>
    <w:p w:rsidR="005946AB" w:rsidRDefault="00BF2F88" w:rsidP="008F1B30">
      <w:pPr>
        <w:keepNext/>
        <w:jc w:val="center"/>
      </w:pPr>
      <w:r>
        <w:rPr>
          <w:noProof/>
        </w:rPr>
        <w:drawing>
          <wp:inline distT="0" distB="0" distL="0" distR="0">
            <wp:extent cx="5226882" cy="4505325"/>
            <wp:effectExtent l="0" t="0" r="0" b="0"/>
            <wp:docPr id="3" name="Picture 2" descr="Overview Map_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 Map_Comp.jpg"/>
                    <pic:cNvPicPr/>
                  </pic:nvPicPr>
                  <pic:blipFill>
                    <a:blip r:embed="rId11" cstate="email">
                      <a:extLst>
                        <a:ext uri="{28A0092B-C50C-407E-A947-70E740481C1C}">
                          <a14:useLocalDpi xmlns:a14="http://schemas.microsoft.com/office/drawing/2010/main"/>
                        </a:ext>
                      </a:extLst>
                    </a:blip>
                    <a:stretch>
                      <a:fillRect/>
                    </a:stretch>
                  </pic:blipFill>
                  <pic:spPr>
                    <a:xfrm>
                      <a:off x="0" y="0"/>
                      <a:ext cx="5229422" cy="4507514"/>
                    </a:xfrm>
                    <a:prstGeom prst="rect">
                      <a:avLst/>
                    </a:prstGeom>
                  </pic:spPr>
                </pic:pic>
              </a:graphicData>
            </a:graphic>
          </wp:inline>
        </w:drawing>
      </w:r>
    </w:p>
    <w:p w:rsidR="000F0CCA" w:rsidRPr="005946AB" w:rsidRDefault="005946AB" w:rsidP="005946AB">
      <w:pPr>
        <w:pStyle w:val="Caption"/>
        <w:rPr>
          <w:b w:val="0"/>
          <w:color w:val="auto"/>
          <w:sz w:val="22"/>
          <w:szCs w:val="22"/>
        </w:rPr>
      </w:pPr>
      <w:r w:rsidRPr="005946AB">
        <w:rPr>
          <w:b w:val="0"/>
          <w:color w:val="auto"/>
          <w:sz w:val="22"/>
          <w:szCs w:val="22"/>
        </w:rPr>
        <w:t xml:space="preserve">Figure </w:t>
      </w:r>
      <w:r w:rsidR="00251534" w:rsidRPr="005946AB">
        <w:rPr>
          <w:b w:val="0"/>
          <w:color w:val="auto"/>
          <w:sz w:val="22"/>
          <w:szCs w:val="22"/>
        </w:rPr>
        <w:fldChar w:fldCharType="begin"/>
      </w:r>
      <w:r w:rsidRPr="005946AB">
        <w:rPr>
          <w:b w:val="0"/>
          <w:color w:val="auto"/>
          <w:sz w:val="22"/>
          <w:szCs w:val="22"/>
        </w:rPr>
        <w:instrText xml:space="preserve"> SEQ Figure \* ARABIC </w:instrText>
      </w:r>
      <w:r w:rsidR="00251534" w:rsidRPr="005946AB">
        <w:rPr>
          <w:b w:val="0"/>
          <w:color w:val="auto"/>
          <w:sz w:val="22"/>
          <w:szCs w:val="22"/>
        </w:rPr>
        <w:fldChar w:fldCharType="separate"/>
      </w:r>
      <w:r w:rsidR="000E193B">
        <w:rPr>
          <w:b w:val="0"/>
          <w:noProof/>
          <w:color w:val="auto"/>
          <w:sz w:val="22"/>
          <w:szCs w:val="22"/>
        </w:rPr>
        <w:t>1</w:t>
      </w:r>
      <w:r w:rsidR="00251534" w:rsidRPr="005946AB">
        <w:rPr>
          <w:b w:val="0"/>
          <w:color w:val="auto"/>
          <w:sz w:val="22"/>
          <w:szCs w:val="22"/>
        </w:rPr>
        <w:fldChar w:fldCharType="end"/>
      </w:r>
      <w:r w:rsidR="00893684">
        <w:rPr>
          <w:b w:val="0"/>
          <w:color w:val="auto"/>
          <w:sz w:val="22"/>
          <w:szCs w:val="22"/>
        </w:rPr>
        <w:t>.</w:t>
      </w:r>
      <w:r w:rsidRPr="005946AB">
        <w:rPr>
          <w:b w:val="0"/>
          <w:color w:val="auto"/>
          <w:sz w:val="22"/>
          <w:szCs w:val="22"/>
        </w:rPr>
        <w:t xml:space="preserve"> Overview map showing regional surface topography, rivers, county boundaries and the Water Level Management Plan </w:t>
      </w:r>
      <w:r w:rsidR="006720E7">
        <w:rPr>
          <w:b w:val="0"/>
          <w:color w:val="auto"/>
          <w:sz w:val="22"/>
          <w:szCs w:val="22"/>
        </w:rPr>
        <w:t xml:space="preserve">(WLMP) </w:t>
      </w:r>
      <w:r w:rsidRPr="005946AB">
        <w:rPr>
          <w:b w:val="0"/>
          <w:color w:val="auto"/>
          <w:sz w:val="22"/>
          <w:szCs w:val="22"/>
        </w:rPr>
        <w:t>area.</w:t>
      </w:r>
      <w:r w:rsidR="006720E7">
        <w:rPr>
          <w:b w:val="0"/>
          <w:color w:val="auto"/>
          <w:sz w:val="22"/>
          <w:szCs w:val="22"/>
        </w:rPr>
        <w:t xml:space="preserve"> The position of the WLMP area in a bowl surrounded by higher </w:t>
      </w:r>
      <w:r w:rsidR="00E7400D">
        <w:rPr>
          <w:b w:val="0"/>
          <w:color w:val="auto"/>
          <w:sz w:val="22"/>
          <w:szCs w:val="22"/>
        </w:rPr>
        <w:t>ground</w:t>
      </w:r>
      <w:r w:rsidR="006720E7">
        <w:rPr>
          <w:b w:val="0"/>
          <w:color w:val="auto"/>
          <w:sz w:val="22"/>
          <w:szCs w:val="22"/>
        </w:rPr>
        <w:t xml:space="preserve"> can be clearly seen. </w:t>
      </w:r>
    </w:p>
    <w:p w:rsidR="00882FED" w:rsidRDefault="005946AB" w:rsidP="00A449CA">
      <w:pPr>
        <w:jc w:val="both"/>
      </w:pPr>
      <w:r>
        <w:t>The typical base flow index for r</w:t>
      </w:r>
      <w:r w:rsidR="00557501">
        <w:t>ivers in this area is around 0.4</w:t>
      </w:r>
      <w:r>
        <w:t xml:space="preserve"> indicating that 60% of water in the river is derived from surface</w:t>
      </w:r>
      <w:r w:rsidR="00C52FCD">
        <w:t>, or near surface</w:t>
      </w:r>
      <w:r>
        <w:t xml:space="preserve"> flow processes whilst the remaining 40% is derived from groundwater. </w:t>
      </w:r>
      <w:r w:rsidR="00BD7817">
        <w:t xml:space="preserve">The movement of water </w:t>
      </w:r>
      <w:r w:rsidR="00C52FCD">
        <w:t xml:space="preserve">to the sea </w:t>
      </w:r>
      <w:r w:rsidR="00BD7817">
        <w:t>by gravity is hindered due to the low-lying nature of the Levels and Moors, which in places are only 3 to 4 m above O.D. By comparison high tides can be up to 8 m above O.D. To overcome this there is a</w:t>
      </w:r>
      <w:r>
        <w:t xml:space="preserve"> network of </w:t>
      </w:r>
      <w:r w:rsidR="00805519">
        <w:t xml:space="preserve">embanked rivers that act </w:t>
      </w:r>
      <w:r w:rsidR="00805519">
        <w:lastRenderedPageBreak/>
        <w:t>as high level carriers to convey water from high ground across the Levels and Moors to the sea</w:t>
      </w:r>
      <w:r w:rsidR="00475991">
        <w:t>. P</w:t>
      </w:r>
      <w:r>
        <w:t xml:space="preserve">umping </w:t>
      </w:r>
      <w:r w:rsidR="00A449CA">
        <w:t>stat</w:t>
      </w:r>
      <w:r w:rsidR="00475991">
        <w:t>ions</w:t>
      </w:r>
      <w:r w:rsidR="00805519">
        <w:t xml:space="preserve"> lift </w:t>
      </w:r>
      <w:r w:rsidR="00475991">
        <w:t xml:space="preserve">the </w:t>
      </w:r>
      <w:r w:rsidR="00805519">
        <w:t xml:space="preserve">water from the moors into the </w:t>
      </w:r>
      <w:r w:rsidR="00475991">
        <w:t xml:space="preserve">high level </w:t>
      </w:r>
      <w:r w:rsidR="00805519">
        <w:t>main river network.</w:t>
      </w:r>
    </w:p>
    <w:p w:rsidR="002C689B" w:rsidRDefault="002C689B" w:rsidP="00A449CA">
      <w:pPr>
        <w:jc w:val="both"/>
      </w:pPr>
    </w:p>
    <w:p w:rsidR="00896C2C" w:rsidRDefault="00896C2C" w:rsidP="00B4335D">
      <w:pPr>
        <w:pStyle w:val="Heading3"/>
        <w:numPr>
          <w:ilvl w:val="1"/>
          <w:numId w:val="16"/>
        </w:numPr>
      </w:pPr>
      <w:bookmarkStart w:id="3" w:name="_Toc402956170"/>
      <w:r>
        <w:t>The Drainage Network</w:t>
      </w:r>
      <w:bookmarkEnd w:id="3"/>
    </w:p>
    <w:p w:rsidR="00B4335D" w:rsidRPr="00B4335D" w:rsidRDefault="00B4335D" w:rsidP="00B4335D"/>
    <w:p w:rsidR="00896C2C" w:rsidRDefault="00896C2C" w:rsidP="00896C2C">
      <w:pPr>
        <w:jc w:val="both"/>
      </w:pPr>
      <w:r>
        <w:t>During the 17</w:t>
      </w:r>
      <w:r w:rsidRPr="00893684">
        <w:rPr>
          <w:vertAlign w:val="superscript"/>
        </w:rPr>
        <w:t>th</w:t>
      </w:r>
      <w:r>
        <w:t xml:space="preserve"> and 18</w:t>
      </w:r>
      <w:r w:rsidRPr="00893684">
        <w:rPr>
          <w:vertAlign w:val="superscript"/>
        </w:rPr>
        <w:t>th</w:t>
      </w:r>
      <w:r>
        <w:t xml:space="preserve"> centuries, a dense network of ditches </w:t>
      </w:r>
      <w:r w:rsidR="00985017">
        <w:t xml:space="preserve">(also known locally as rhynes) </w:t>
      </w:r>
      <w:r>
        <w:t xml:space="preserve">was dug across the Levels and Moors, with the aim of making the land more accessible and increasing its agricultural value (Figure 2). The ditch network is still maintained, however the maintenance of water levels within the ditches varies across the area. </w:t>
      </w:r>
      <w:r w:rsidR="00475991">
        <w:t>In 1987</w:t>
      </w:r>
      <w:r w:rsidR="000E5816">
        <w:t>, the Ministry of Fisheries and Food introduced</w:t>
      </w:r>
      <w:r w:rsidR="00475991">
        <w:t xml:space="preserve"> the Environmentally Sensitive Area (ESA) scheme </w:t>
      </w:r>
      <w:r w:rsidR="000E5816">
        <w:t xml:space="preserve">with the aim of safeguarding areas of the landscape. </w:t>
      </w:r>
      <w:r w:rsidR="002A166F">
        <w:t>Under this scheme, land</w:t>
      </w:r>
      <w:r w:rsidR="00C8133F">
        <w:t xml:space="preserve"> </w:t>
      </w:r>
      <w:r w:rsidR="002A166F">
        <w:t>owners and managers</w:t>
      </w:r>
      <w:r w:rsidR="00C8133F">
        <w:t xml:space="preserve"> can obtain subsidies to maintain high water levels that conserve peat soils and promote biodiversity.</w:t>
      </w:r>
      <w:r w:rsidR="002A166F">
        <w:t xml:space="preserve"> </w:t>
      </w:r>
      <w:r>
        <w:t xml:space="preserve">Tatem (1994) summarises the development of </w:t>
      </w:r>
      <w:r w:rsidR="000E5816">
        <w:t xml:space="preserve">ESA </w:t>
      </w:r>
      <w:r>
        <w:t xml:space="preserve">water level management prescriptions: </w:t>
      </w:r>
    </w:p>
    <w:p w:rsidR="00896C2C" w:rsidRDefault="00896C2C" w:rsidP="00896C2C">
      <w:pPr>
        <w:jc w:val="both"/>
      </w:pPr>
      <w:r>
        <w:t xml:space="preserve">‘The ESA scheme was reviewed in 1991, the main change being the introduction of </w:t>
      </w:r>
      <w:r w:rsidR="00805519">
        <w:t xml:space="preserve">voluntary </w:t>
      </w:r>
      <w:r>
        <w:t xml:space="preserve">water level prescriptions to agreement types Tier 1 and Tier 2 and the addition of a Tier 3 and a water level supplement. The purpose of Tier 3 and the water level supplement is ‘To further enhance the ecological interests of grassland by the creation of wet winter and spring conditions on the Moors.’ This is to be achieved through land management </w:t>
      </w:r>
      <w:r w:rsidR="00805519">
        <w:t xml:space="preserve">measures </w:t>
      </w:r>
      <w:r>
        <w:t>combined with the following water level management prescriptions.</w:t>
      </w:r>
      <w:r w:rsidR="00C8133F">
        <w:t xml:space="preserve"> </w:t>
      </w:r>
      <w:r>
        <w:t>From 1</w:t>
      </w:r>
      <w:r w:rsidRPr="00E46F9F">
        <w:rPr>
          <w:vertAlign w:val="superscript"/>
        </w:rPr>
        <w:t>st</w:t>
      </w:r>
      <w:r>
        <w:t xml:space="preserve"> May to 30 November water levels in the adjacent/peripheral ditches and rhynes must be maintained at not more than 300 mm below mean field level and from 1</w:t>
      </w:r>
      <w:r w:rsidRPr="00E46F9F">
        <w:rPr>
          <w:vertAlign w:val="superscript"/>
        </w:rPr>
        <w:t>st</w:t>
      </w:r>
      <w:r>
        <w:t xml:space="preserve"> December to 30</w:t>
      </w:r>
      <w:r w:rsidRPr="00E46F9F">
        <w:rPr>
          <w:vertAlign w:val="superscript"/>
        </w:rPr>
        <w:t>th</w:t>
      </w:r>
      <w:r>
        <w:t xml:space="preserve"> April at not less than mean field level so as to cause c</w:t>
      </w:r>
      <w:r w:rsidR="00C8133F">
        <w:t>onditions of surface splashing.’</w:t>
      </w:r>
    </w:p>
    <w:p w:rsidR="00545807" w:rsidRDefault="00664D7E" w:rsidP="00545807">
      <w:pPr>
        <w:jc w:val="both"/>
      </w:pPr>
      <w:r>
        <w:t xml:space="preserve">The network of watercourses is divided up into three categories; main river, viewed rhyne and ordinary watercourse. </w:t>
      </w:r>
      <w:r w:rsidR="00847C39">
        <w:t>In this study, we focus on two areas: first where water level management plans (WLMP) have been produced and second a subset of raised water level areas (RWLA). T</w:t>
      </w:r>
      <w:r w:rsidR="00545807">
        <w:t>he water level management of ditches within each is treated separately. The extent and locations are indicated in Table 1 and Figure 2. The categories are:</w:t>
      </w:r>
    </w:p>
    <w:p w:rsidR="00545807" w:rsidRDefault="00545807" w:rsidP="00545807">
      <w:pPr>
        <w:pStyle w:val="ListParagraph"/>
        <w:numPr>
          <w:ilvl w:val="0"/>
          <w:numId w:val="7"/>
        </w:numPr>
        <w:jc w:val="both"/>
      </w:pPr>
      <w:r>
        <w:t xml:space="preserve">WLMP (Ditches that fall within the Water Level Management Plan area). The WLMP area covers 19,265 ha in total and is the full extent of the area considered in this study. Sites of Special Scientific Interest (SSSI) and areas of Raised Water Level (RWLA) management sit within the WLMP area. There are 211 km of main rivers, 447 km of viewed rhyne and 1781 km of ditches in the WLMP area. In general, the management of water levels in these ditches typically follows a pattern of high summer levels, in order to provide ‘wet fencing’ for cattle, and low winter levels to provide flood storage capacity. </w:t>
      </w:r>
    </w:p>
    <w:p w:rsidR="00545807" w:rsidRDefault="00545807" w:rsidP="00545807">
      <w:pPr>
        <w:pStyle w:val="ListParagraph"/>
        <w:jc w:val="both"/>
      </w:pPr>
    </w:p>
    <w:p w:rsidR="00545807" w:rsidRDefault="00545807" w:rsidP="00545807">
      <w:pPr>
        <w:pStyle w:val="ListParagraph"/>
        <w:numPr>
          <w:ilvl w:val="0"/>
          <w:numId w:val="7"/>
        </w:numPr>
        <w:jc w:val="both"/>
      </w:pPr>
      <w:r>
        <w:t>RWLA (Ditches that fall within the Raised Water Level Areas). These cover an area of 2530 ha, equivalent to 13 % of the total WLMP area. The total lengths, and corresponding percentages of the total WLMP lengths, of water courses in this area are; 3.8 km (2%) of main rivers, 34.4 km (8%) of viewed rhyne, and 227 km (13%) of ditch. Water level management in these areas is well defined and follows the tiered system described pr</w:t>
      </w:r>
      <w:r w:rsidR="00A12490">
        <w:t>eviously and detailed in Table 2</w:t>
      </w:r>
      <w:r>
        <w:t xml:space="preserve">. </w:t>
      </w:r>
    </w:p>
    <w:p w:rsidR="00545807" w:rsidRDefault="00545807" w:rsidP="00545807">
      <w:pPr>
        <w:jc w:val="both"/>
        <w:sectPr w:rsidR="00545807" w:rsidSect="00E950FA">
          <w:footerReference w:type="default" r:id="rId12"/>
          <w:type w:val="continuous"/>
          <w:pgSz w:w="11906" w:h="16838"/>
          <w:pgMar w:top="1440" w:right="1440" w:bottom="1440" w:left="1440" w:header="708" w:footer="708" w:gutter="0"/>
          <w:cols w:space="708"/>
          <w:docGrid w:linePitch="360"/>
        </w:sectPr>
      </w:pPr>
    </w:p>
    <w:p w:rsidR="00545807" w:rsidRPr="00805519" w:rsidRDefault="00545807" w:rsidP="00545807">
      <w:pPr>
        <w:jc w:val="both"/>
      </w:pPr>
    </w:p>
    <w:p w:rsidR="00545807" w:rsidRPr="00545807" w:rsidRDefault="00545807" w:rsidP="00545807">
      <w:pPr>
        <w:pStyle w:val="Caption"/>
        <w:keepNext/>
        <w:rPr>
          <w:b w:val="0"/>
          <w:color w:val="auto"/>
          <w:sz w:val="22"/>
          <w:szCs w:val="22"/>
        </w:rPr>
      </w:pPr>
      <w:r w:rsidRPr="00545807">
        <w:rPr>
          <w:b w:val="0"/>
          <w:color w:val="auto"/>
          <w:sz w:val="22"/>
          <w:szCs w:val="22"/>
        </w:rPr>
        <w:t xml:space="preserve">Table </w:t>
      </w:r>
      <w:r w:rsidR="00251534" w:rsidRPr="00545807">
        <w:rPr>
          <w:b w:val="0"/>
          <w:color w:val="auto"/>
          <w:sz w:val="22"/>
          <w:szCs w:val="22"/>
        </w:rPr>
        <w:fldChar w:fldCharType="begin"/>
      </w:r>
      <w:r w:rsidRPr="00545807">
        <w:rPr>
          <w:b w:val="0"/>
          <w:color w:val="auto"/>
          <w:sz w:val="22"/>
          <w:szCs w:val="22"/>
        </w:rPr>
        <w:instrText xml:space="preserve"> SEQ Table \* ARABIC </w:instrText>
      </w:r>
      <w:r w:rsidR="00251534" w:rsidRPr="00545807">
        <w:rPr>
          <w:b w:val="0"/>
          <w:color w:val="auto"/>
          <w:sz w:val="22"/>
          <w:szCs w:val="22"/>
        </w:rPr>
        <w:fldChar w:fldCharType="separate"/>
      </w:r>
      <w:r w:rsidR="000E193B">
        <w:rPr>
          <w:b w:val="0"/>
          <w:noProof/>
          <w:color w:val="auto"/>
          <w:sz w:val="22"/>
          <w:szCs w:val="22"/>
        </w:rPr>
        <w:t>1</w:t>
      </w:r>
      <w:r w:rsidR="00251534" w:rsidRPr="00545807">
        <w:rPr>
          <w:b w:val="0"/>
          <w:color w:val="auto"/>
          <w:sz w:val="22"/>
          <w:szCs w:val="22"/>
        </w:rPr>
        <w:fldChar w:fldCharType="end"/>
      </w:r>
      <w:r w:rsidR="00F54328">
        <w:rPr>
          <w:b w:val="0"/>
          <w:color w:val="auto"/>
          <w:sz w:val="22"/>
          <w:szCs w:val="22"/>
        </w:rPr>
        <w:t>.</w:t>
      </w:r>
      <w:r>
        <w:rPr>
          <w:b w:val="0"/>
          <w:color w:val="auto"/>
          <w:sz w:val="22"/>
          <w:szCs w:val="22"/>
        </w:rPr>
        <w:t xml:space="preserve"> </w:t>
      </w:r>
      <w:r w:rsidRPr="00545807">
        <w:rPr>
          <w:b w:val="0"/>
          <w:color w:val="auto"/>
          <w:sz w:val="22"/>
          <w:szCs w:val="22"/>
        </w:rPr>
        <w:t xml:space="preserve">Area and length of interest features. </w:t>
      </w:r>
      <w:r w:rsidRPr="00545807">
        <w:rPr>
          <w:b w:val="0"/>
          <w:i/>
          <w:color w:val="auto"/>
          <w:sz w:val="22"/>
          <w:szCs w:val="22"/>
        </w:rPr>
        <w:t>(Data provided by Somerset Drainage Board).</w:t>
      </w:r>
    </w:p>
    <w:tbl>
      <w:tblPr>
        <w:tblW w:w="13193" w:type="dxa"/>
        <w:tblInd w:w="98" w:type="dxa"/>
        <w:tblLook w:val="04A0" w:firstRow="1" w:lastRow="0" w:firstColumn="1" w:lastColumn="0" w:noHBand="0" w:noVBand="1"/>
      </w:tblPr>
      <w:tblGrid>
        <w:gridCol w:w="1995"/>
        <w:gridCol w:w="797"/>
        <w:gridCol w:w="874"/>
        <w:gridCol w:w="951"/>
        <w:gridCol w:w="1063"/>
        <w:gridCol w:w="1134"/>
        <w:gridCol w:w="951"/>
        <w:gridCol w:w="892"/>
        <w:gridCol w:w="851"/>
        <w:gridCol w:w="1134"/>
        <w:gridCol w:w="992"/>
        <w:gridCol w:w="1559"/>
      </w:tblGrid>
      <w:tr w:rsidR="00545807" w:rsidRPr="00545807" w:rsidTr="00602D34">
        <w:trPr>
          <w:trHeight w:val="768"/>
        </w:trPr>
        <w:tc>
          <w:tcPr>
            <w:tcW w:w="1995" w:type="dxa"/>
            <w:tcBorders>
              <w:top w:val="single" w:sz="8" w:space="0" w:color="auto"/>
              <w:left w:val="single" w:sz="8" w:space="0" w:color="auto"/>
              <w:bottom w:val="nil"/>
              <w:right w:val="nil"/>
            </w:tcBorders>
            <w:shd w:val="clear" w:color="000000" w:fill="D8D8D8"/>
            <w:noWrap/>
            <w:vAlign w:val="bottom"/>
            <w:hideMark/>
          </w:tcPr>
          <w:p w:rsidR="00545807" w:rsidRPr="00545807" w:rsidRDefault="00545807" w:rsidP="00545807">
            <w:pPr>
              <w:spacing w:after="0" w:line="240" w:lineRule="auto"/>
              <w:rPr>
                <w:rFonts w:ascii="Calibri" w:eastAsia="Times New Roman" w:hAnsi="Calibri" w:cs="Times New Roman"/>
                <w:b/>
                <w:bCs/>
                <w:color w:val="000000"/>
              </w:rPr>
            </w:pPr>
            <w:r w:rsidRPr="00545807">
              <w:rPr>
                <w:rFonts w:ascii="Calibri" w:eastAsia="Times New Roman" w:hAnsi="Calibri" w:cs="Times New Roman"/>
                <w:b/>
                <w:bCs/>
                <w:color w:val="000000"/>
              </w:rPr>
              <w:t> </w:t>
            </w:r>
          </w:p>
        </w:tc>
        <w:tc>
          <w:tcPr>
            <w:tcW w:w="1671" w:type="dxa"/>
            <w:gridSpan w:val="2"/>
            <w:tcBorders>
              <w:top w:val="single" w:sz="8" w:space="0" w:color="auto"/>
              <w:left w:val="single" w:sz="8" w:space="0" w:color="auto"/>
              <w:bottom w:val="nil"/>
              <w:right w:val="single" w:sz="8" w:space="0" w:color="000000"/>
            </w:tcBorders>
            <w:shd w:val="clear" w:color="000000" w:fill="A7FFCF"/>
            <w:noWrap/>
            <w:vAlign w:val="bottom"/>
            <w:hideMark/>
          </w:tcPr>
          <w:p w:rsidR="00545807" w:rsidRPr="00545807" w:rsidRDefault="00545807" w:rsidP="00545807">
            <w:pPr>
              <w:spacing w:after="0" w:line="240" w:lineRule="auto"/>
              <w:jc w:val="center"/>
              <w:rPr>
                <w:rFonts w:ascii="Calibri" w:eastAsia="Times New Roman" w:hAnsi="Calibri" w:cs="Times New Roman"/>
                <w:b/>
                <w:bCs/>
                <w:color w:val="000000"/>
              </w:rPr>
            </w:pPr>
            <w:r w:rsidRPr="00545807">
              <w:rPr>
                <w:rFonts w:ascii="Calibri" w:eastAsia="Times New Roman" w:hAnsi="Calibri" w:cs="Times New Roman"/>
                <w:b/>
                <w:bCs/>
                <w:color w:val="000000"/>
              </w:rPr>
              <w:t>Area (ha.)</w:t>
            </w:r>
          </w:p>
        </w:tc>
        <w:tc>
          <w:tcPr>
            <w:tcW w:w="4099" w:type="dxa"/>
            <w:gridSpan w:val="4"/>
            <w:tcBorders>
              <w:top w:val="single" w:sz="8" w:space="0" w:color="auto"/>
              <w:left w:val="nil"/>
              <w:bottom w:val="single" w:sz="8" w:space="0" w:color="auto"/>
              <w:right w:val="single" w:sz="8" w:space="0" w:color="000000"/>
            </w:tcBorders>
            <w:shd w:val="clear" w:color="000000" w:fill="FFFFAB"/>
            <w:vAlign w:val="bottom"/>
            <w:hideMark/>
          </w:tcPr>
          <w:p w:rsidR="00545807" w:rsidRPr="00545807" w:rsidRDefault="00545807" w:rsidP="00545807">
            <w:pPr>
              <w:spacing w:after="0" w:line="240" w:lineRule="auto"/>
              <w:jc w:val="center"/>
              <w:rPr>
                <w:rFonts w:ascii="Calibri" w:eastAsia="Times New Roman" w:hAnsi="Calibri" w:cs="Times New Roman"/>
                <w:b/>
                <w:bCs/>
                <w:color w:val="000000"/>
              </w:rPr>
            </w:pPr>
            <w:r w:rsidRPr="00545807">
              <w:rPr>
                <w:rFonts w:ascii="Calibri" w:eastAsia="Times New Roman" w:hAnsi="Calibri" w:cs="Times New Roman"/>
                <w:b/>
                <w:bCs/>
                <w:color w:val="000000"/>
              </w:rPr>
              <w:t>Watercourse length in WLMP area (km)</w:t>
            </w:r>
          </w:p>
        </w:tc>
        <w:tc>
          <w:tcPr>
            <w:tcW w:w="3869" w:type="dxa"/>
            <w:gridSpan w:val="4"/>
            <w:tcBorders>
              <w:top w:val="single" w:sz="8" w:space="0" w:color="auto"/>
              <w:left w:val="nil"/>
              <w:bottom w:val="single" w:sz="8" w:space="0" w:color="auto"/>
              <w:right w:val="single" w:sz="8" w:space="0" w:color="000000"/>
            </w:tcBorders>
            <w:shd w:val="clear" w:color="000000" w:fill="B7D4FF"/>
            <w:vAlign w:val="bottom"/>
            <w:hideMark/>
          </w:tcPr>
          <w:p w:rsidR="00545807" w:rsidRPr="00545807" w:rsidRDefault="00545807" w:rsidP="00545807">
            <w:pPr>
              <w:spacing w:after="0" w:line="240" w:lineRule="auto"/>
              <w:jc w:val="center"/>
              <w:rPr>
                <w:rFonts w:ascii="Calibri" w:eastAsia="Times New Roman" w:hAnsi="Calibri" w:cs="Times New Roman"/>
                <w:b/>
                <w:bCs/>
                <w:color w:val="000000"/>
              </w:rPr>
            </w:pPr>
            <w:r w:rsidRPr="00545807">
              <w:rPr>
                <w:rFonts w:ascii="Calibri" w:eastAsia="Times New Roman" w:hAnsi="Calibri" w:cs="Times New Roman"/>
                <w:b/>
                <w:bCs/>
                <w:color w:val="000000"/>
              </w:rPr>
              <w:t>Watercourse length in RWLA area (km)</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45807" w:rsidRPr="00545807" w:rsidRDefault="00545807" w:rsidP="00545807">
            <w:pPr>
              <w:spacing w:after="0" w:line="240" w:lineRule="auto"/>
              <w:jc w:val="center"/>
              <w:rPr>
                <w:rFonts w:ascii="Calibri" w:eastAsia="Times New Roman" w:hAnsi="Calibri" w:cs="Times New Roman"/>
                <w:b/>
                <w:bCs/>
                <w:color w:val="000000"/>
              </w:rPr>
            </w:pPr>
            <w:r w:rsidRPr="00545807">
              <w:rPr>
                <w:rFonts w:ascii="Calibri" w:eastAsia="Times New Roman" w:hAnsi="Calibri" w:cs="Times New Roman"/>
                <w:b/>
                <w:bCs/>
                <w:color w:val="000000"/>
              </w:rPr>
              <w:t>Percentage of total length of watercourse in WLMP that is RWLA (%)</w:t>
            </w:r>
          </w:p>
        </w:tc>
      </w:tr>
      <w:tr w:rsidR="00545807" w:rsidRPr="00545807" w:rsidTr="00602D34">
        <w:trPr>
          <w:trHeight w:val="1519"/>
        </w:trPr>
        <w:tc>
          <w:tcPr>
            <w:tcW w:w="199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45807" w:rsidRPr="00545807" w:rsidRDefault="00545807" w:rsidP="00545807">
            <w:pPr>
              <w:spacing w:after="0" w:line="240" w:lineRule="auto"/>
              <w:rPr>
                <w:rFonts w:ascii="Arial" w:eastAsia="Times New Roman" w:hAnsi="Arial" w:cs="Arial"/>
                <w:b/>
                <w:bCs/>
                <w:sz w:val="20"/>
                <w:szCs w:val="20"/>
              </w:rPr>
            </w:pPr>
            <w:r w:rsidRPr="00545807">
              <w:rPr>
                <w:rFonts w:ascii="Arial" w:eastAsia="Times New Roman" w:hAnsi="Arial" w:cs="Arial"/>
                <w:b/>
                <w:bCs/>
                <w:sz w:val="20"/>
                <w:szCs w:val="20"/>
              </w:rPr>
              <w:t>Name</w:t>
            </w:r>
          </w:p>
        </w:tc>
        <w:tc>
          <w:tcPr>
            <w:tcW w:w="797" w:type="dxa"/>
            <w:tcBorders>
              <w:top w:val="single" w:sz="8" w:space="0" w:color="auto"/>
              <w:left w:val="nil"/>
              <w:bottom w:val="single" w:sz="8" w:space="0" w:color="auto"/>
              <w:right w:val="single" w:sz="4" w:space="0" w:color="auto"/>
            </w:tcBorders>
            <w:shd w:val="clear" w:color="000000" w:fill="A7FFCF"/>
            <w:textDirection w:val="btLr"/>
            <w:vAlign w:val="bottom"/>
            <w:hideMark/>
          </w:tcPr>
          <w:p w:rsidR="00545807" w:rsidRPr="00545807" w:rsidRDefault="00545807" w:rsidP="00545807">
            <w:pPr>
              <w:spacing w:after="0" w:line="240" w:lineRule="auto"/>
              <w:rPr>
                <w:rFonts w:ascii="Arial" w:eastAsia="Times New Roman" w:hAnsi="Arial" w:cs="Arial"/>
                <w:b/>
                <w:bCs/>
                <w:sz w:val="20"/>
                <w:szCs w:val="20"/>
              </w:rPr>
            </w:pPr>
            <w:r w:rsidRPr="00545807">
              <w:rPr>
                <w:rFonts w:ascii="Arial" w:eastAsia="Times New Roman" w:hAnsi="Arial" w:cs="Arial"/>
                <w:b/>
                <w:bCs/>
                <w:sz w:val="20"/>
                <w:szCs w:val="20"/>
              </w:rPr>
              <w:t>WLMP</w:t>
            </w:r>
          </w:p>
        </w:tc>
        <w:tc>
          <w:tcPr>
            <w:tcW w:w="874" w:type="dxa"/>
            <w:tcBorders>
              <w:top w:val="single" w:sz="8" w:space="0" w:color="auto"/>
              <w:left w:val="nil"/>
              <w:bottom w:val="single" w:sz="8" w:space="0" w:color="auto"/>
              <w:right w:val="single" w:sz="8" w:space="0" w:color="auto"/>
            </w:tcBorders>
            <w:shd w:val="clear" w:color="000000" w:fill="A7FFCF"/>
            <w:textDirection w:val="btLr"/>
            <w:vAlign w:val="bottom"/>
            <w:hideMark/>
          </w:tcPr>
          <w:p w:rsidR="00545807" w:rsidRPr="00545807" w:rsidRDefault="00545807" w:rsidP="00545807">
            <w:pPr>
              <w:spacing w:after="0" w:line="240" w:lineRule="auto"/>
              <w:rPr>
                <w:rFonts w:ascii="Arial" w:eastAsia="Times New Roman" w:hAnsi="Arial" w:cs="Arial"/>
                <w:b/>
                <w:bCs/>
                <w:sz w:val="20"/>
                <w:szCs w:val="20"/>
              </w:rPr>
            </w:pPr>
            <w:r w:rsidRPr="00545807">
              <w:rPr>
                <w:rFonts w:ascii="Arial" w:eastAsia="Times New Roman" w:hAnsi="Arial" w:cs="Arial"/>
                <w:b/>
                <w:bCs/>
                <w:sz w:val="20"/>
                <w:szCs w:val="20"/>
              </w:rPr>
              <w:t>RWLA</w:t>
            </w:r>
          </w:p>
        </w:tc>
        <w:tc>
          <w:tcPr>
            <w:tcW w:w="951" w:type="dxa"/>
            <w:tcBorders>
              <w:top w:val="nil"/>
              <w:left w:val="nil"/>
              <w:bottom w:val="single" w:sz="8" w:space="0" w:color="auto"/>
              <w:right w:val="single" w:sz="4" w:space="0" w:color="auto"/>
            </w:tcBorders>
            <w:shd w:val="clear" w:color="000000" w:fill="FFFFAB"/>
            <w:textDirection w:val="btLr"/>
            <w:vAlign w:val="bottom"/>
            <w:hideMark/>
          </w:tcPr>
          <w:p w:rsidR="00545807" w:rsidRPr="00545807" w:rsidRDefault="00545807" w:rsidP="00545807">
            <w:pPr>
              <w:spacing w:after="0" w:line="240" w:lineRule="auto"/>
              <w:rPr>
                <w:rFonts w:ascii="Arial" w:eastAsia="Times New Roman" w:hAnsi="Arial" w:cs="Arial"/>
                <w:b/>
                <w:bCs/>
                <w:sz w:val="20"/>
                <w:szCs w:val="20"/>
              </w:rPr>
            </w:pPr>
            <w:r w:rsidRPr="00545807">
              <w:rPr>
                <w:rFonts w:ascii="Arial" w:eastAsia="Times New Roman" w:hAnsi="Arial" w:cs="Arial"/>
                <w:b/>
                <w:bCs/>
                <w:sz w:val="20"/>
                <w:szCs w:val="20"/>
              </w:rPr>
              <w:t>Main river</w:t>
            </w:r>
          </w:p>
        </w:tc>
        <w:tc>
          <w:tcPr>
            <w:tcW w:w="1063" w:type="dxa"/>
            <w:tcBorders>
              <w:top w:val="nil"/>
              <w:left w:val="nil"/>
              <w:bottom w:val="single" w:sz="8" w:space="0" w:color="auto"/>
              <w:right w:val="single" w:sz="4" w:space="0" w:color="auto"/>
            </w:tcBorders>
            <w:shd w:val="clear" w:color="000000" w:fill="FFFFAB"/>
            <w:textDirection w:val="btLr"/>
            <w:vAlign w:val="bottom"/>
            <w:hideMark/>
          </w:tcPr>
          <w:p w:rsidR="00545807" w:rsidRPr="00545807" w:rsidRDefault="00545807" w:rsidP="00545807">
            <w:pPr>
              <w:spacing w:after="0" w:line="240" w:lineRule="auto"/>
              <w:rPr>
                <w:rFonts w:ascii="Arial" w:eastAsia="Times New Roman" w:hAnsi="Arial" w:cs="Arial"/>
                <w:b/>
                <w:bCs/>
                <w:sz w:val="20"/>
                <w:szCs w:val="20"/>
              </w:rPr>
            </w:pPr>
            <w:r w:rsidRPr="00545807">
              <w:rPr>
                <w:rFonts w:ascii="Arial" w:eastAsia="Times New Roman" w:hAnsi="Arial" w:cs="Arial"/>
                <w:b/>
                <w:bCs/>
                <w:sz w:val="20"/>
                <w:szCs w:val="20"/>
              </w:rPr>
              <w:t>Viewed rhyne</w:t>
            </w:r>
          </w:p>
        </w:tc>
        <w:tc>
          <w:tcPr>
            <w:tcW w:w="1134" w:type="dxa"/>
            <w:tcBorders>
              <w:top w:val="nil"/>
              <w:left w:val="nil"/>
              <w:bottom w:val="single" w:sz="8" w:space="0" w:color="auto"/>
              <w:right w:val="single" w:sz="4" w:space="0" w:color="auto"/>
            </w:tcBorders>
            <w:shd w:val="clear" w:color="000000" w:fill="FFFFAB"/>
            <w:textDirection w:val="btLr"/>
            <w:vAlign w:val="bottom"/>
            <w:hideMark/>
          </w:tcPr>
          <w:p w:rsidR="00545807" w:rsidRPr="00545807" w:rsidRDefault="00545807" w:rsidP="00545807">
            <w:pPr>
              <w:spacing w:after="0" w:line="240" w:lineRule="auto"/>
              <w:rPr>
                <w:rFonts w:ascii="Arial" w:eastAsia="Times New Roman" w:hAnsi="Arial" w:cs="Arial"/>
                <w:b/>
                <w:bCs/>
                <w:sz w:val="20"/>
                <w:szCs w:val="20"/>
              </w:rPr>
            </w:pPr>
            <w:r w:rsidRPr="00545807">
              <w:rPr>
                <w:rFonts w:ascii="Arial" w:eastAsia="Times New Roman" w:hAnsi="Arial" w:cs="Arial"/>
                <w:b/>
                <w:bCs/>
                <w:sz w:val="20"/>
                <w:szCs w:val="20"/>
              </w:rPr>
              <w:t>Ordinary watercourse</w:t>
            </w:r>
          </w:p>
        </w:tc>
        <w:tc>
          <w:tcPr>
            <w:tcW w:w="951" w:type="dxa"/>
            <w:tcBorders>
              <w:top w:val="nil"/>
              <w:left w:val="nil"/>
              <w:bottom w:val="single" w:sz="8" w:space="0" w:color="auto"/>
              <w:right w:val="single" w:sz="8" w:space="0" w:color="auto"/>
            </w:tcBorders>
            <w:shd w:val="clear" w:color="000000" w:fill="FFFFAB"/>
            <w:textDirection w:val="btLr"/>
            <w:vAlign w:val="bottom"/>
            <w:hideMark/>
          </w:tcPr>
          <w:p w:rsidR="00545807" w:rsidRPr="00545807" w:rsidRDefault="00545807" w:rsidP="00545807">
            <w:pPr>
              <w:spacing w:after="0" w:line="240" w:lineRule="auto"/>
              <w:rPr>
                <w:rFonts w:ascii="Arial" w:eastAsia="Times New Roman" w:hAnsi="Arial" w:cs="Arial"/>
                <w:b/>
                <w:bCs/>
                <w:sz w:val="20"/>
                <w:szCs w:val="20"/>
              </w:rPr>
            </w:pPr>
            <w:r w:rsidRPr="00545807">
              <w:rPr>
                <w:rFonts w:ascii="Arial" w:eastAsia="Times New Roman" w:hAnsi="Arial" w:cs="Arial"/>
                <w:b/>
                <w:bCs/>
                <w:sz w:val="20"/>
                <w:szCs w:val="20"/>
              </w:rPr>
              <w:t>Total</w:t>
            </w:r>
          </w:p>
        </w:tc>
        <w:tc>
          <w:tcPr>
            <w:tcW w:w="892" w:type="dxa"/>
            <w:tcBorders>
              <w:top w:val="nil"/>
              <w:left w:val="nil"/>
              <w:bottom w:val="single" w:sz="8" w:space="0" w:color="auto"/>
              <w:right w:val="single" w:sz="4" w:space="0" w:color="auto"/>
            </w:tcBorders>
            <w:shd w:val="clear" w:color="000000" w:fill="B7D4FF"/>
            <w:textDirection w:val="btLr"/>
            <w:vAlign w:val="bottom"/>
            <w:hideMark/>
          </w:tcPr>
          <w:p w:rsidR="00545807" w:rsidRPr="00545807" w:rsidRDefault="00545807" w:rsidP="00545807">
            <w:pPr>
              <w:spacing w:after="0" w:line="240" w:lineRule="auto"/>
              <w:rPr>
                <w:rFonts w:ascii="Arial" w:eastAsia="Times New Roman" w:hAnsi="Arial" w:cs="Arial"/>
                <w:b/>
                <w:bCs/>
                <w:sz w:val="20"/>
                <w:szCs w:val="20"/>
              </w:rPr>
            </w:pPr>
            <w:r w:rsidRPr="00545807">
              <w:rPr>
                <w:rFonts w:ascii="Arial" w:eastAsia="Times New Roman" w:hAnsi="Arial" w:cs="Arial"/>
                <w:b/>
                <w:bCs/>
                <w:sz w:val="20"/>
                <w:szCs w:val="20"/>
              </w:rPr>
              <w:t>Main river</w:t>
            </w:r>
          </w:p>
        </w:tc>
        <w:tc>
          <w:tcPr>
            <w:tcW w:w="851" w:type="dxa"/>
            <w:tcBorders>
              <w:top w:val="nil"/>
              <w:left w:val="nil"/>
              <w:bottom w:val="single" w:sz="8" w:space="0" w:color="auto"/>
              <w:right w:val="single" w:sz="4" w:space="0" w:color="auto"/>
            </w:tcBorders>
            <w:shd w:val="clear" w:color="000000" w:fill="B7D4FF"/>
            <w:textDirection w:val="btLr"/>
            <w:vAlign w:val="bottom"/>
            <w:hideMark/>
          </w:tcPr>
          <w:p w:rsidR="00545807" w:rsidRPr="00545807" w:rsidRDefault="00545807" w:rsidP="00545807">
            <w:pPr>
              <w:spacing w:after="0" w:line="240" w:lineRule="auto"/>
              <w:rPr>
                <w:rFonts w:ascii="Arial" w:eastAsia="Times New Roman" w:hAnsi="Arial" w:cs="Arial"/>
                <w:b/>
                <w:bCs/>
                <w:sz w:val="20"/>
                <w:szCs w:val="20"/>
              </w:rPr>
            </w:pPr>
            <w:r w:rsidRPr="00545807">
              <w:rPr>
                <w:rFonts w:ascii="Arial" w:eastAsia="Times New Roman" w:hAnsi="Arial" w:cs="Arial"/>
                <w:b/>
                <w:bCs/>
                <w:sz w:val="20"/>
                <w:szCs w:val="20"/>
              </w:rPr>
              <w:t>Viewed rhyne</w:t>
            </w:r>
          </w:p>
        </w:tc>
        <w:tc>
          <w:tcPr>
            <w:tcW w:w="1134" w:type="dxa"/>
            <w:tcBorders>
              <w:top w:val="nil"/>
              <w:left w:val="nil"/>
              <w:bottom w:val="single" w:sz="8" w:space="0" w:color="auto"/>
              <w:right w:val="single" w:sz="4" w:space="0" w:color="auto"/>
            </w:tcBorders>
            <w:shd w:val="clear" w:color="000000" w:fill="B7D4FF"/>
            <w:textDirection w:val="btLr"/>
            <w:vAlign w:val="bottom"/>
            <w:hideMark/>
          </w:tcPr>
          <w:p w:rsidR="00545807" w:rsidRPr="00545807" w:rsidRDefault="00545807" w:rsidP="00545807">
            <w:pPr>
              <w:spacing w:after="0" w:line="240" w:lineRule="auto"/>
              <w:rPr>
                <w:rFonts w:ascii="Arial" w:eastAsia="Times New Roman" w:hAnsi="Arial" w:cs="Arial"/>
                <w:b/>
                <w:bCs/>
                <w:sz w:val="20"/>
                <w:szCs w:val="20"/>
              </w:rPr>
            </w:pPr>
            <w:r w:rsidRPr="00545807">
              <w:rPr>
                <w:rFonts w:ascii="Arial" w:eastAsia="Times New Roman" w:hAnsi="Arial" w:cs="Arial"/>
                <w:b/>
                <w:bCs/>
                <w:sz w:val="20"/>
                <w:szCs w:val="20"/>
              </w:rPr>
              <w:t>Ordinary watercourse</w:t>
            </w:r>
          </w:p>
        </w:tc>
        <w:tc>
          <w:tcPr>
            <w:tcW w:w="992" w:type="dxa"/>
            <w:tcBorders>
              <w:top w:val="nil"/>
              <w:left w:val="nil"/>
              <w:bottom w:val="single" w:sz="8" w:space="0" w:color="auto"/>
              <w:right w:val="single" w:sz="8" w:space="0" w:color="auto"/>
            </w:tcBorders>
            <w:shd w:val="clear" w:color="000000" w:fill="B7D4FF"/>
            <w:textDirection w:val="btLr"/>
            <w:vAlign w:val="bottom"/>
            <w:hideMark/>
          </w:tcPr>
          <w:p w:rsidR="00545807" w:rsidRPr="00545807" w:rsidRDefault="00545807" w:rsidP="00545807">
            <w:pPr>
              <w:spacing w:after="0" w:line="240" w:lineRule="auto"/>
              <w:rPr>
                <w:rFonts w:ascii="Calibri" w:eastAsia="Times New Roman" w:hAnsi="Calibri" w:cs="Times New Roman"/>
                <w:b/>
                <w:bCs/>
                <w:color w:val="000000"/>
              </w:rPr>
            </w:pPr>
            <w:r w:rsidRPr="00545807">
              <w:rPr>
                <w:rFonts w:ascii="Calibri" w:eastAsia="Times New Roman" w:hAnsi="Calibri" w:cs="Times New Roman"/>
                <w:b/>
                <w:bCs/>
                <w:color w:val="000000"/>
              </w:rPr>
              <w:t>Total</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545807" w:rsidRPr="00545807" w:rsidRDefault="00545807" w:rsidP="00545807">
            <w:pPr>
              <w:spacing w:after="0" w:line="240" w:lineRule="auto"/>
              <w:rPr>
                <w:rFonts w:ascii="Calibri" w:eastAsia="Times New Roman" w:hAnsi="Calibri" w:cs="Times New Roman"/>
                <w:b/>
                <w:bCs/>
                <w:color w:val="000000"/>
              </w:rPr>
            </w:pPr>
          </w:p>
        </w:tc>
      </w:tr>
      <w:tr w:rsidR="00545807" w:rsidRPr="00545807" w:rsidTr="00602D34">
        <w:trPr>
          <w:trHeight w:val="388"/>
        </w:trPr>
        <w:tc>
          <w:tcPr>
            <w:tcW w:w="1995" w:type="dxa"/>
            <w:tcBorders>
              <w:top w:val="nil"/>
              <w:left w:val="single" w:sz="8" w:space="0" w:color="auto"/>
              <w:bottom w:val="single" w:sz="4" w:space="0" w:color="auto"/>
              <w:right w:val="nil"/>
            </w:tcBorders>
            <w:shd w:val="clear" w:color="auto" w:fill="auto"/>
            <w:vAlign w:val="bottom"/>
            <w:hideMark/>
          </w:tcPr>
          <w:p w:rsidR="00545807" w:rsidRPr="00545807" w:rsidRDefault="00545807" w:rsidP="00545807">
            <w:pPr>
              <w:spacing w:after="0" w:line="240" w:lineRule="auto"/>
              <w:rPr>
                <w:rFonts w:ascii="Calibri" w:eastAsia="Times New Roman" w:hAnsi="Calibri" w:cs="Times New Roman"/>
                <w:color w:val="000000"/>
              </w:rPr>
            </w:pPr>
            <w:r w:rsidRPr="00545807">
              <w:rPr>
                <w:rFonts w:ascii="Calibri" w:eastAsia="Times New Roman" w:hAnsi="Calibri" w:cs="Times New Roman"/>
                <w:color w:val="000000"/>
              </w:rPr>
              <w:t>Allermoor</w:t>
            </w:r>
          </w:p>
        </w:tc>
        <w:tc>
          <w:tcPr>
            <w:tcW w:w="797" w:type="dxa"/>
            <w:tcBorders>
              <w:top w:val="nil"/>
              <w:left w:val="single" w:sz="8" w:space="0" w:color="auto"/>
              <w:bottom w:val="single" w:sz="4" w:space="0" w:color="auto"/>
              <w:right w:val="single" w:sz="4" w:space="0" w:color="auto"/>
            </w:tcBorders>
            <w:shd w:val="clear" w:color="000000" w:fill="A7FFC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902</w:t>
            </w:r>
          </w:p>
        </w:tc>
        <w:tc>
          <w:tcPr>
            <w:tcW w:w="874" w:type="dxa"/>
            <w:tcBorders>
              <w:top w:val="nil"/>
              <w:left w:val="nil"/>
              <w:bottom w:val="single" w:sz="4" w:space="0" w:color="auto"/>
              <w:right w:val="single" w:sz="8" w:space="0" w:color="auto"/>
            </w:tcBorders>
            <w:shd w:val="clear" w:color="000000" w:fill="A7FFC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29</w:t>
            </w:r>
          </w:p>
        </w:tc>
        <w:tc>
          <w:tcPr>
            <w:tcW w:w="951"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23.7</w:t>
            </w:r>
          </w:p>
        </w:tc>
        <w:tc>
          <w:tcPr>
            <w:tcW w:w="1063"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19.6</w:t>
            </w:r>
          </w:p>
        </w:tc>
        <w:tc>
          <w:tcPr>
            <w:tcW w:w="1134"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78.1</w:t>
            </w:r>
          </w:p>
        </w:tc>
        <w:tc>
          <w:tcPr>
            <w:tcW w:w="951" w:type="dxa"/>
            <w:tcBorders>
              <w:top w:val="nil"/>
              <w:left w:val="nil"/>
              <w:bottom w:val="single" w:sz="4" w:space="0" w:color="auto"/>
              <w:right w:val="single" w:sz="8"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121.4</w:t>
            </w:r>
          </w:p>
        </w:tc>
        <w:tc>
          <w:tcPr>
            <w:tcW w:w="892"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0.0</w:t>
            </w:r>
          </w:p>
        </w:tc>
        <w:tc>
          <w:tcPr>
            <w:tcW w:w="851"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0.0</w:t>
            </w:r>
          </w:p>
        </w:tc>
        <w:tc>
          <w:tcPr>
            <w:tcW w:w="1134"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2.1</w:t>
            </w:r>
          </w:p>
        </w:tc>
        <w:tc>
          <w:tcPr>
            <w:tcW w:w="992" w:type="dxa"/>
            <w:tcBorders>
              <w:top w:val="nil"/>
              <w:left w:val="nil"/>
              <w:bottom w:val="single" w:sz="4" w:space="0" w:color="auto"/>
              <w:right w:val="single" w:sz="8" w:space="0" w:color="auto"/>
            </w:tcBorders>
            <w:shd w:val="clear" w:color="000000" w:fill="B7D4FF"/>
            <w:noWrap/>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2.1</w:t>
            </w:r>
          </w:p>
        </w:tc>
        <w:tc>
          <w:tcPr>
            <w:tcW w:w="1559" w:type="dxa"/>
            <w:tcBorders>
              <w:top w:val="nil"/>
              <w:left w:val="nil"/>
              <w:bottom w:val="single" w:sz="4" w:space="0" w:color="auto"/>
              <w:right w:val="single" w:sz="8" w:space="0" w:color="auto"/>
            </w:tcBorders>
            <w:shd w:val="clear" w:color="auto" w:fill="auto"/>
            <w:noWrap/>
            <w:vAlign w:val="bottom"/>
            <w:hideMark/>
          </w:tcPr>
          <w:p w:rsidR="00545807" w:rsidRPr="00545807" w:rsidRDefault="00545807" w:rsidP="00545807">
            <w:pPr>
              <w:spacing w:after="0" w:line="240" w:lineRule="auto"/>
              <w:jc w:val="center"/>
              <w:rPr>
                <w:rFonts w:ascii="Calibri" w:eastAsia="Times New Roman" w:hAnsi="Calibri" w:cs="Times New Roman"/>
                <w:b/>
                <w:bCs/>
                <w:color w:val="000000"/>
              </w:rPr>
            </w:pPr>
            <w:r w:rsidRPr="00545807">
              <w:rPr>
                <w:rFonts w:ascii="Calibri" w:eastAsia="Times New Roman" w:hAnsi="Calibri" w:cs="Times New Roman"/>
                <w:b/>
                <w:bCs/>
                <w:color w:val="000000"/>
              </w:rPr>
              <w:t>1.7</w:t>
            </w:r>
          </w:p>
        </w:tc>
      </w:tr>
      <w:tr w:rsidR="00545807" w:rsidRPr="00545807" w:rsidTr="00602D34">
        <w:trPr>
          <w:trHeight w:val="388"/>
        </w:trPr>
        <w:tc>
          <w:tcPr>
            <w:tcW w:w="1995" w:type="dxa"/>
            <w:tcBorders>
              <w:top w:val="nil"/>
              <w:left w:val="single" w:sz="8" w:space="0" w:color="auto"/>
              <w:bottom w:val="single" w:sz="4" w:space="0" w:color="auto"/>
              <w:right w:val="nil"/>
            </w:tcBorders>
            <w:shd w:val="clear" w:color="auto" w:fill="auto"/>
            <w:vAlign w:val="bottom"/>
            <w:hideMark/>
          </w:tcPr>
          <w:p w:rsidR="00545807" w:rsidRPr="00545807" w:rsidRDefault="00545807" w:rsidP="00545807">
            <w:pPr>
              <w:spacing w:after="0" w:line="240" w:lineRule="auto"/>
              <w:rPr>
                <w:rFonts w:ascii="Calibri" w:eastAsia="Times New Roman" w:hAnsi="Calibri" w:cs="Times New Roman"/>
                <w:color w:val="000000"/>
              </w:rPr>
            </w:pPr>
            <w:r w:rsidRPr="00545807">
              <w:rPr>
                <w:rFonts w:ascii="Calibri" w:eastAsia="Times New Roman" w:hAnsi="Calibri" w:cs="Times New Roman"/>
                <w:color w:val="000000"/>
              </w:rPr>
              <w:t>Brue Valley North</w:t>
            </w:r>
          </w:p>
        </w:tc>
        <w:tc>
          <w:tcPr>
            <w:tcW w:w="797" w:type="dxa"/>
            <w:tcBorders>
              <w:top w:val="nil"/>
              <w:left w:val="single" w:sz="8" w:space="0" w:color="auto"/>
              <w:bottom w:val="single" w:sz="4" w:space="0" w:color="auto"/>
              <w:right w:val="single" w:sz="4" w:space="0" w:color="auto"/>
            </w:tcBorders>
            <w:shd w:val="clear" w:color="000000" w:fill="A7FFC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2926</w:t>
            </w:r>
          </w:p>
        </w:tc>
        <w:tc>
          <w:tcPr>
            <w:tcW w:w="874" w:type="dxa"/>
            <w:tcBorders>
              <w:top w:val="nil"/>
              <w:left w:val="nil"/>
              <w:bottom w:val="single" w:sz="4" w:space="0" w:color="auto"/>
              <w:right w:val="single" w:sz="8" w:space="0" w:color="auto"/>
            </w:tcBorders>
            <w:shd w:val="clear" w:color="000000" w:fill="A7FFC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196</w:t>
            </w:r>
          </w:p>
        </w:tc>
        <w:tc>
          <w:tcPr>
            <w:tcW w:w="951"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38.9</w:t>
            </w:r>
          </w:p>
        </w:tc>
        <w:tc>
          <w:tcPr>
            <w:tcW w:w="1063"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70.6</w:t>
            </w:r>
          </w:p>
        </w:tc>
        <w:tc>
          <w:tcPr>
            <w:tcW w:w="1134"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287.2</w:t>
            </w:r>
          </w:p>
        </w:tc>
        <w:tc>
          <w:tcPr>
            <w:tcW w:w="951" w:type="dxa"/>
            <w:tcBorders>
              <w:top w:val="nil"/>
              <w:left w:val="nil"/>
              <w:bottom w:val="single" w:sz="4" w:space="0" w:color="auto"/>
              <w:right w:val="single" w:sz="8"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396.7</w:t>
            </w:r>
          </w:p>
        </w:tc>
        <w:tc>
          <w:tcPr>
            <w:tcW w:w="892"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0.0</w:t>
            </w:r>
          </w:p>
        </w:tc>
        <w:tc>
          <w:tcPr>
            <w:tcW w:w="851"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4.6</w:t>
            </w:r>
          </w:p>
        </w:tc>
        <w:tc>
          <w:tcPr>
            <w:tcW w:w="1134"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15.2</w:t>
            </w:r>
          </w:p>
        </w:tc>
        <w:tc>
          <w:tcPr>
            <w:tcW w:w="992" w:type="dxa"/>
            <w:tcBorders>
              <w:top w:val="nil"/>
              <w:left w:val="nil"/>
              <w:bottom w:val="single" w:sz="4" w:space="0" w:color="auto"/>
              <w:right w:val="single" w:sz="8" w:space="0" w:color="auto"/>
            </w:tcBorders>
            <w:shd w:val="clear" w:color="000000" w:fill="B7D4FF"/>
            <w:noWrap/>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19.8</w:t>
            </w:r>
          </w:p>
        </w:tc>
        <w:tc>
          <w:tcPr>
            <w:tcW w:w="1559" w:type="dxa"/>
            <w:tcBorders>
              <w:top w:val="nil"/>
              <w:left w:val="nil"/>
              <w:bottom w:val="single" w:sz="4" w:space="0" w:color="auto"/>
              <w:right w:val="single" w:sz="8" w:space="0" w:color="auto"/>
            </w:tcBorders>
            <w:shd w:val="clear" w:color="auto" w:fill="auto"/>
            <w:noWrap/>
            <w:vAlign w:val="bottom"/>
            <w:hideMark/>
          </w:tcPr>
          <w:p w:rsidR="00545807" w:rsidRPr="00545807" w:rsidRDefault="00545807" w:rsidP="00545807">
            <w:pPr>
              <w:spacing w:after="0" w:line="240" w:lineRule="auto"/>
              <w:jc w:val="center"/>
              <w:rPr>
                <w:rFonts w:ascii="Calibri" w:eastAsia="Times New Roman" w:hAnsi="Calibri" w:cs="Times New Roman"/>
                <w:b/>
                <w:bCs/>
                <w:color w:val="000000"/>
              </w:rPr>
            </w:pPr>
            <w:r w:rsidRPr="00545807">
              <w:rPr>
                <w:rFonts w:ascii="Calibri" w:eastAsia="Times New Roman" w:hAnsi="Calibri" w:cs="Times New Roman"/>
                <w:b/>
                <w:bCs/>
                <w:color w:val="000000"/>
              </w:rPr>
              <w:t>5.0</w:t>
            </w:r>
          </w:p>
        </w:tc>
      </w:tr>
      <w:tr w:rsidR="00545807" w:rsidRPr="00545807" w:rsidTr="00602D34">
        <w:trPr>
          <w:trHeight w:val="388"/>
        </w:trPr>
        <w:tc>
          <w:tcPr>
            <w:tcW w:w="1995" w:type="dxa"/>
            <w:tcBorders>
              <w:top w:val="nil"/>
              <w:left w:val="single" w:sz="8" w:space="0" w:color="auto"/>
              <w:bottom w:val="single" w:sz="4" w:space="0" w:color="auto"/>
              <w:right w:val="nil"/>
            </w:tcBorders>
            <w:shd w:val="clear" w:color="auto" w:fill="auto"/>
            <w:vAlign w:val="bottom"/>
            <w:hideMark/>
          </w:tcPr>
          <w:p w:rsidR="00545807" w:rsidRPr="00545807" w:rsidRDefault="00545807" w:rsidP="00545807">
            <w:pPr>
              <w:spacing w:after="0" w:line="240" w:lineRule="auto"/>
              <w:rPr>
                <w:rFonts w:ascii="Calibri" w:eastAsia="Times New Roman" w:hAnsi="Calibri" w:cs="Times New Roman"/>
                <w:color w:val="000000"/>
              </w:rPr>
            </w:pPr>
            <w:r w:rsidRPr="00545807">
              <w:rPr>
                <w:rFonts w:ascii="Calibri" w:eastAsia="Times New Roman" w:hAnsi="Calibri" w:cs="Times New Roman"/>
                <w:color w:val="000000"/>
              </w:rPr>
              <w:t>Brue Valley South</w:t>
            </w:r>
          </w:p>
        </w:tc>
        <w:tc>
          <w:tcPr>
            <w:tcW w:w="797" w:type="dxa"/>
            <w:tcBorders>
              <w:top w:val="nil"/>
              <w:left w:val="single" w:sz="8" w:space="0" w:color="auto"/>
              <w:bottom w:val="single" w:sz="4" w:space="0" w:color="auto"/>
              <w:right w:val="single" w:sz="4" w:space="0" w:color="auto"/>
            </w:tcBorders>
            <w:shd w:val="clear" w:color="000000" w:fill="A7FFC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4743</w:t>
            </w:r>
          </w:p>
        </w:tc>
        <w:tc>
          <w:tcPr>
            <w:tcW w:w="874" w:type="dxa"/>
            <w:tcBorders>
              <w:top w:val="nil"/>
              <w:left w:val="nil"/>
              <w:bottom w:val="single" w:sz="4" w:space="0" w:color="auto"/>
              <w:right w:val="single" w:sz="8" w:space="0" w:color="auto"/>
            </w:tcBorders>
            <w:shd w:val="clear" w:color="000000" w:fill="A7FFC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298</w:t>
            </w:r>
          </w:p>
        </w:tc>
        <w:tc>
          <w:tcPr>
            <w:tcW w:w="951"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24.7</w:t>
            </w:r>
          </w:p>
        </w:tc>
        <w:tc>
          <w:tcPr>
            <w:tcW w:w="1063"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77.1</w:t>
            </w:r>
          </w:p>
        </w:tc>
        <w:tc>
          <w:tcPr>
            <w:tcW w:w="1134"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437.7</w:t>
            </w:r>
          </w:p>
        </w:tc>
        <w:tc>
          <w:tcPr>
            <w:tcW w:w="951" w:type="dxa"/>
            <w:tcBorders>
              <w:top w:val="nil"/>
              <w:left w:val="nil"/>
              <w:bottom w:val="single" w:sz="4" w:space="0" w:color="auto"/>
              <w:right w:val="single" w:sz="8"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539.5</w:t>
            </w:r>
          </w:p>
        </w:tc>
        <w:tc>
          <w:tcPr>
            <w:tcW w:w="892"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0.0</w:t>
            </w:r>
          </w:p>
        </w:tc>
        <w:tc>
          <w:tcPr>
            <w:tcW w:w="851"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1.6</w:t>
            </w:r>
          </w:p>
        </w:tc>
        <w:tc>
          <w:tcPr>
            <w:tcW w:w="1134"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28.3</w:t>
            </w:r>
          </w:p>
        </w:tc>
        <w:tc>
          <w:tcPr>
            <w:tcW w:w="992" w:type="dxa"/>
            <w:tcBorders>
              <w:top w:val="nil"/>
              <w:left w:val="nil"/>
              <w:bottom w:val="single" w:sz="4" w:space="0" w:color="auto"/>
              <w:right w:val="single" w:sz="8" w:space="0" w:color="auto"/>
            </w:tcBorders>
            <w:shd w:val="clear" w:color="000000" w:fill="B7D4FF"/>
            <w:noWrap/>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29.9</w:t>
            </w:r>
          </w:p>
        </w:tc>
        <w:tc>
          <w:tcPr>
            <w:tcW w:w="1559" w:type="dxa"/>
            <w:tcBorders>
              <w:top w:val="nil"/>
              <w:left w:val="nil"/>
              <w:bottom w:val="single" w:sz="4" w:space="0" w:color="auto"/>
              <w:right w:val="single" w:sz="8" w:space="0" w:color="auto"/>
            </w:tcBorders>
            <w:shd w:val="clear" w:color="auto" w:fill="auto"/>
            <w:noWrap/>
            <w:vAlign w:val="bottom"/>
            <w:hideMark/>
          </w:tcPr>
          <w:p w:rsidR="00545807" w:rsidRPr="00545807" w:rsidRDefault="00545807" w:rsidP="00545807">
            <w:pPr>
              <w:spacing w:after="0" w:line="240" w:lineRule="auto"/>
              <w:jc w:val="center"/>
              <w:rPr>
                <w:rFonts w:ascii="Calibri" w:eastAsia="Times New Roman" w:hAnsi="Calibri" w:cs="Times New Roman"/>
                <w:b/>
                <w:bCs/>
                <w:color w:val="000000"/>
              </w:rPr>
            </w:pPr>
            <w:r w:rsidRPr="00545807">
              <w:rPr>
                <w:rFonts w:ascii="Calibri" w:eastAsia="Times New Roman" w:hAnsi="Calibri" w:cs="Times New Roman"/>
                <w:b/>
                <w:bCs/>
                <w:color w:val="000000"/>
              </w:rPr>
              <w:t>5.5</w:t>
            </w:r>
          </w:p>
        </w:tc>
      </w:tr>
      <w:tr w:rsidR="00545807" w:rsidRPr="00545807" w:rsidTr="00602D34">
        <w:trPr>
          <w:trHeight w:val="388"/>
        </w:trPr>
        <w:tc>
          <w:tcPr>
            <w:tcW w:w="1995" w:type="dxa"/>
            <w:tcBorders>
              <w:top w:val="nil"/>
              <w:left w:val="single" w:sz="8" w:space="0" w:color="auto"/>
              <w:bottom w:val="single" w:sz="4" w:space="0" w:color="auto"/>
              <w:right w:val="nil"/>
            </w:tcBorders>
            <w:shd w:val="clear" w:color="auto" w:fill="auto"/>
            <w:vAlign w:val="bottom"/>
            <w:hideMark/>
          </w:tcPr>
          <w:p w:rsidR="00545807" w:rsidRPr="00545807" w:rsidRDefault="00545807" w:rsidP="00545807">
            <w:pPr>
              <w:spacing w:after="0" w:line="240" w:lineRule="auto"/>
              <w:rPr>
                <w:rFonts w:ascii="Calibri" w:eastAsia="Times New Roman" w:hAnsi="Calibri" w:cs="Times New Roman"/>
                <w:color w:val="000000"/>
              </w:rPr>
            </w:pPr>
            <w:r w:rsidRPr="00545807">
              <w:rPr>
                <w:rFonts w:ascii="Calibri" w:eastAsia="Times New Roman" w:hAnsi="Calibri" w:cs="Times New Roman"/>
                <w:color w:val="000000"/>
              </w:rPr>
              <w:t>Curry Moor</w:t>
            </w:r>
          </w:p>
        </w:tc>
        <w:tc>
          <w:tcPr>
            <w:tcW w:w="797" w:type="dxa"/>
            <w:tcBorders>
              <w:top w:val="nil"/>
              <w:left w:val="single" w:sz="8" w:space="0" w:color="auto"/>
              <w:bottom w:val="single" w:sz="4" w:space="0" w:color="auto"/>
              <w:right w:val="single" w:sz="4" w:space="0" w:color="auto"/>
            </w:tcBorders>
            <w:shd w:val="clear" w:color="000000" w:fill="A7FFC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773</w:t>
            </w:r>
          </w:p>
        </w:tc>
        <w:tc>
          <w:tcPr>
            <w:tcW w:w="874" w:type="dxa"/>
            <w:tcBorders>
              <w:top w:val="nil"/>
              <w:left w:val="nil"/>
              <w:bottom w:val="single" w:sz="4" w:space="0" w:color="auto"/>
              <w:right w:val="single" w:sz="8" w:space="0" w:color="auto"/>
            </w:tcBorders>
            <w:shd w:val="clear" w:color="000000" w:fill="A7FFC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19</w:t>
            </w:r>
          </w:p>
        </w:tc>
        <w:tc>
          <w:tcPr>
            <w:tcW w:w="951"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21.0</w:t>
            </w:r>
          </w:p>
        </w:tc>
        <w:tc>
          <w:tcPr>
            <w:tcW w:w="1063"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22.0</w:t>
            </w:r>
          </w:p>
        </w:tc>
        <w:tc>
          <w:tcPr>
            <w:tcW w:w="1134"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64.7</w:t>
            </w:r>
          </w:p>
        </w:tc>
        <w:tc>
          <w:tcPr>
            <w:tcW w:w="951" w:type="dxa"/>
            <w:tcBorders>
              <w:top w:val="nil"/>
              <w:left w:val="nil"/>
              <w:bottom w:val="single" w:sz="4" w:space="0" w:color="auto"/>
              <w:right w:val="single" w:sz="8"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107.7</w:t>
            </w:r>
          </w:p>
        </w:tc>
        <w:tc>
          <w:tcPr>
            <w:tcW w:w="892"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0.0</w:t>
            </w:r>
          </w:p>
        </w:tc>
        <w:tc>
          <w:tcPr>
            <w:tcW w:w="851"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0.0</w:t>
            </w:r>
          </w:p>
        </w:tc>
        <w:tc>
          <w:tcPr>
            <w:tcW w:w="1134"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0.7</w:t>
            </w:r>
          </w:p>
        </w:tc>
        <w:tc>
          <w:tcPr>
            <w:tcW w:w="992" w:type="dxa"/>
            <w:tcBorders>
              <w:top w:val="nil"/>
              <w:left w:val="nil"/>
              <w:bottom w:val="single" w:sz="4" w:space="0" w:color="auto"/>
              <w:right w:val="single" w:sz="8" w:space="0" w:color="auto"/>
            </w:tcBorders>
            <w:shd w:val="clear" w:color="000000" w:fill="B7D4FF"/>
            <w:noWrap/>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0.7</w:t>
            </w:r>
          </w:p>
        </w:tc>
        <w:tc>
          <w:tcPr>
            <w:tcW w:w="1559" w:type="dxa"/>
            <w:tcBorders>
              <w:top w:val="nil"/>
              <w:left w:val="nil"/>
              <w:bottom w:val="single" w:sz="4" w:space="0" w:color="auto"/>
              <w:right w:val="single" w:sz="8" w:space="0" w:color="auto"/>
            </w:tcBorders>
            <w:shd w:val="clear" w:color="auto" w:fill="auto"/>
            <w:noWrap/>
            <w:vAlign w:val="bottom"/>
            <w:hideMark/>
          </w:tcPr>
          <w:p w:rsidR="00545807" w:rsidRPr="00545807" w:rsidRDefault="00545807" w:rsidP="00545807">
            <w:pPr>
              <w:spacing w:after="0" w:line="240" w:lineRule="auto"/>
              <w:jc w:val="center"/>
              <w:rPr>
                <w:rFonts w:ascii="Calibri" w:eastAsia="Times New Roman" w:hAnsi="Calibri" w:cs="Times New Roman"/>
                <w:b/>
                <w:bCs/>
                <w:color w:val="000000"/>
              </w:rPr>
            </w:pPr>
            <w:r w:rsidRPr="00545807">
              <w:rPr>
                <w:rFonts w:ascii="Calibri" w:eastAsia="Times New Roman" w:hAnsi="Calibri" w:cs="Times New Roman"/>
                <w:b/>
                <w:bCs/>
                <w:color w:val="000000"/>
              </w:rPr>
              <w:t>0.6</w:t>
            </w:r>
          </w:p>
        </w:tc>
      </w:tr>
      <w:tr w:rsidR="00545807" w:rsidRPr="00545807" w:rsidTr="00602D34">
        <w:trPr>
          <w:trHeight w:val="388"/>
        </w:trPr>
        <w:tc>
          <w:tcPr>
            <w:tcW w:w="1995" w:type="dxa"/>
            <w:tcBorders>
              <w:top w:val="nil"/>
              <w:left w:val="single" w:sz="8" w:space="0" w:color="auto"/>
              <w:bottom w:val="single" w:sz="4" w:space="0" w:color="auto"/>
              <w:right w:val="nil"/>
            </w:tcBorders>
            <w:shd w:val="clear" w:color="auto" w:fill="auto"/>
            <w:vAlign w:val="bottom"/>
            <w:hideMark/>
          </w:tcPr>
          <w:p w:rsidR="00545807" w:rsidRPr="00545807" w:rsidRDefault="00545807" w:rsidP="00545807">
            <w:pPr>
              <w:spacing w:after="0" w:line="240" w:lineRule="auto"/>
              <w:rPr>
                <w:rFonts w:ascii="Calibri" w:eastAsia="Times New Roman" w:hAnsi="Calibri" w:cs="Times New Roman"/>
                <w:color w:val="000000"/>
              </w:rPr>
            </w:pPr>
            <w:r w:rsidRPr="00545807">
              <w:rPr>
                <w:rFonts w:ascii="Calibri" w:eastAsia="Times New Roman" w:hAnsi="Calibri" w:cs="Times New Roman"/>
                <w:color w:val="000000"/>
              </w:rPr>
              <w:t>Kings Sedgemoor</w:t>
            </w:r>
          </w:p>
        </w:tc>
        <w:tc>
          <w:tcPr>
            <w:tcW w:w="797" w:type="dxa"/>
            <w:tcBorders>
              <w:top w:val="nil"/>
              <w:left w:val="single" w:sz="8" w:space="0" w:color="auto"/>
              <w:bottom w:val="single" w:sz="4" w:space="0" w:color="auto"/>
              <w:right w:val="single" w:sz="4" w:space="0" w:color="auto"/>
            </w:tcBorders>
            <w:shd w:val="clear" w:color="000000" w:fill="A7FFC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4499</w:t>
            </w:r>
          </w:p>
        </w:tc>
        <w:tc>
          <w:tcPr>
            <w:tcW w:w="874" w:type="dxa"/>
            <w:tcBorders>
              <w:top w:val="nil"/>
              <w:left w:val="nil"/>
              <w:bottom w:val="single" w:sz="4" w:space="0" w:color="auto"/>
              <w:right w:val="single" w:sz="8" w:space="0" w:color="auto"/>
            </w:tcBorders>
            <w:shd w:val="clear" w:color="000000" w:fill="A7FFC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588</w:t>
            </w:r>
          </w:p>
        </w:tc>
        <w:tc>
          <w:tcPr>
            <w:tcW w:w="951"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50.3</w:t>
            </w:r>
          </w:p>
        </w:tc>
        <w:tc>
          <w:tcPr>
            <w:tcW w:w="1063"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104.2</w:t>
            </w:r>
          </w:p>
        </w:tc>
        <w:tc>
          <w:tcPr>
            <w:tcW w:w="1134"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420.9</w:t>
            </w:r>
          </w:p>
        </w:tc>
        <w:tc>
          <w:tcPr>
            <w:tcW w:w="951" w:type="dxa"/>
            <w:tcBorders>
              <w:top w:val="nil"/>
              <w:left w:val="nil"/>
              <w:bottom w:val="single" w:sz="4" w:space="0" w:color="auto"/>
              <w:right w:val="single" w:sz="8"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575.4</w:t>
            </w:r>
          </w:p>
        </w:tc>
        <w:tc>
          <w:tcPr>
            <w:tcW w:w="892"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0.0</w:t>
            </w:r>
          </w:p>
        </w:tc>
        <w:tc>
          <w:tcPr>
            <w:tcW w:w="851"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7.7</w:t>
            </w:r>
          </w:p>
        </w:tc>
        <w:tc>
          <w:tcPr>
            <w:tcW w:w="1134"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51.4</w:t>
            </w:r>
          </w:p>
        </w:tc>
        <w:tc>
          <w:tcPr>
            <w:tcW w:w="992" w:type="dxa"/>
            <w:tcBorders>
              <w:top w:val="nil"/>
              <w:left w:val="nil"/>
              <w:bottom w:val="single" w:sz="4" w:space="0" w:color="auto"/>
              <w:right w:val="single" w:sz="8" w:space="0" w:color="auto"/>
            </w:tcBorders>
            <w:shd w:val="clear" w:color="000000" w:fill="B7D4FF"/>
            <w:noWrap/>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59.1</w:t>
            </w:r>
          </w:p>
        </w:tc>
        <w:tc>
          <w:tcPr>
            <w:tcW w:w="1559" w:type="dxa"/>
            <w:tcBorders>
              <w:top w:val="nil"/>
              <w:left w:val="nil"/>
              <w:bottom w:val="single" w:sz="4" w:space="0" w:color="auto"/>
              <w:right w:val="single" w:sz="8" w:space="0" w:color="auto"/>
            </w:tcBorders>
            <w:shd w:val="clear" w:color="auto" w:fill="auto"/>
            <w:noWrap/>
            <w:vAlign w:val="bottom"/>
            <w:hideMark/>
          </w:tcPr>
          <w:p w:rsidR="00545807" w:rsidRPr="00545807" w:rsidRDefault="00545807" w:rsidP="00545807">
            <w:pPr>
              <w:spacing w:after="0" w:line="240" w:lineRule="auto"/>
              <w:jc w:val="center"/>
              <w:rPr>
                <w:rFonts w:ascii="Calibri" w:eastAsia="Times New Roman" w:hAnsi="Calibri" w:cs="Times New Roman"/>
                <w:b/>
                <w:bCs/>
                <w:color w:val="000000"/>
              </w:rPr>
            </w:pPr>
            <w:r w:rsidRPr="00545807">
              <w:rPr>
                <w:rFonts w:ascii="Calibri" w:eastAsia="Times New Roman" w:hAnsi="Calibri" w:cs="Times New Roman"/>
                <w:b/>
                <w:bCs/>
                <w:color w:val="000000"/>
              </w:rPr>
              <w:t>10.3</w:t>
            </w:r>
          </w:p>
        </w:tc>
      </w:tr>
      <w:tr w:rsidR="00545807" w:rsidRPr="00545807" w:rsidTr="00602D34">
        <w:trPr>
          <w:trHeight w:val="388"/>
        </w:trPr>
        <w:tc>
          <w:tcPr>
            <w:tcW w:w="1995" w:type="dxa"/>
            <w:tcBorders>
              <w:top w:val="nil"/>
              <w:left w:val="single" w:sz="8" w:space="0" w:color="auto"/>
              <w:bottom w:val="single" w:sz="4" w:space="0" w:color="auto"/>
              <w:right w:val="nil"/>
            </w:tcBorders>
            <w:shd w:val="clear" w:color="auto" w:fill="auto"/>
            <w:vAlign w:val="bottom"/>
            <w:hideMark/>
          </w:tcPr>
          <w:p w:rsidR="00545807" w:rsidRPr="00545807" w:rsidRDefault="00545807" w:rsidP="00545807">
            <w:pPr>
              <w:spacing w:after="0" w:line="240" w:lineRule="auto"/>
              <w:rPr>
                <w:rFonts w:ascii="Calibri" w:eastAsia="Times New Roman" w:hAnsi="Calibri" w:cs="Times New Roman"/>
                <w:color w:val="000000"/>
              </w:rPr>
            </w:pPr>
            <w:r w:rsidRPr="00545807">
              <w:rPr>
                <w:rFonts w:ascii="Calibri" w:eastAsia="Times New Roman" w:hAnsi="Calibri" w:cs="Times New Roman"/>
                <w:color w:val="000000"/>
              </w:rPr>
              <w:t>North Moor</w:t>
            </w:r>
          </w:p>
        </w:tc>
        <w:tc>
          <w:tcPr>
            <w:tcW w:w="797" w:type="dxa"/>
            <w:tcBorders>
              <w:top w:val="nil"/>
              <w:left w:val="single" w:sz="8" w:space="0" w:color="auto"/>
              <w:bottom w:val="single" w:sz="4" w:space="0" w:color="auto"/>
              <w:right w:val="single" w:sz="4" w:space="0" w:color="auto"/>
            </w:tcBorders>
            <w:shd w:val="clear" w:color="000000" w:fill="A7FFC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1613</w:t>
            </w:r>
          </w:p>
        </w:tc>
        <w:tc>
          <w:tcPr>
            <w:tcW w:w="874" w:type="dxa"/>
            <w:tcBorders>
              <w:top w:val="nil"/>
              <w:left w:val="nil"/>
              <w:bottom w:val="single" w:sz="4" w:space="0" w:color="auto"/>
              <w:right w:val="single" w:sz="8" w:space="0" w:color="auto"/>
            </w:tcBorders>
            <w:shd w:val="clear" w:color="000000" w:fill="A7FFC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125</w:t>
            </w:r>
          </w:p>
        </w:tc>
        <w:tc>
          <w:tcPr>
            <w:tcW w:w="951"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7.1</w:t>
            </w:r>
          </w:p>
        </w:tc>
        <w:tc>
          <w:tcPr>
            <w:tcW w:w="1063"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45.9</w:t>
            </w:r>
          </w:p>
        </w:tc>
        <w:tc>
          <w:tcPr>
            <w:tcW w:w="1134"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181.8</w:t>
            </w:r>
          </w:p>
        </w:tc>
        <w:tc>
          <w:tcPr>
            <w:tcW w:w="951" w:type="dxa"/>
            <w:tcBorders>
              <w:top w:val="nil"/>
              <w:left w:val="nil"/>
              <w:bottom w:val="single" w:sz="4" w:space="0" w:color="auto"/>
              <w:right w:val="single" w:sz="8"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234.8</w:t>
            </w:r>
          </w:p>
        </w:tc>
        <w:tc>
          <w:tcPr>
            <w:tcW w:w="892"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0.0</w:t>
            </w:r>
          </w:p>
        </w:tc>
        <w:tc>
          <w:tcPr>
            <w:tcW w:w="851"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2.2</w:t>
            </w:r>
          </w:p>
        </w:tc>
        <w:tc>
          <w:tcPr>
            <w:tcW w:w="1134"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15.2</w:t>
            </w:r>
          </w:p>
        </w:tc>
        <w:tc>
          <w:tcPr>
            <w:tcW w:w="992" w:type="dxa"/>
            <w:tcBorders>
              <w:top w:val="nil"/>
              <w:left w:val="nil"/>
              <w:bottom w:val="single" w:sz="4" w:space="0" w:color="auto"/>
              <w:right w:val="single" w:sz="8" w:space="0" w:color="auto"/>
            </w:tcBorders>
            <w:shd w:val="clear" w:color="000000" w:fill="B7D4FF"/>
            <w:noWrap/>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17.4</w:t>
            </w:r>
          </w:p>
        </w:tc>
        <w:tc>
          <w:tcPr>
            <w:tcW w:w="1559" w:type="dxa"/>
            <w:tcBorders>
              <w:top w:val="nil"/>
              <w:left w:val="nil"/>
              <w:bottom w:val="single" w:sz="4" w:space="0" w:color="auto"/>
              <w:right w:val="single" w:sz="8" w:space="0" w:color="auto"/>
            </w:tcBorders>
            <w:shd w:val="clear" w:color="auto" w:fill="auto"/>
            <w:noWrap/>
            <w:vAlign w:val="bottom"/>
            <w:hideMark/>
          </w:tcPr>
          <w:p w:rsidR="00545807" w:rsidRPr="00545807" w:rsidRDefault="00545807" w:rsidP="00545807">
            <w:pPr>
              <w:spacing w:after="0" w:line="240" w:lineRule="auto"/>
              <w:jc w:val="center"/>
              <w:rPr>
                <w:rFonts w:ascii="Calibri" w:eastAsia="Times New Roman" w:hAnsi="Calibri" w:cs="Times New Roman"/>
                <w:b/>
                <w:bCs/>
                <w:color w:val="000000"/>
              </w:rPr>
            </w:pPr>
            <w:r w:rsidRPr="00545807">
              <w:rPr>
                <w:rFonts w:ascii="Calibri" w:eastAsia="Times New Roman" w:hAnsi="Calibri" w:cs="Times New Roman"/>
                <w:b/>
                <w:bCs/>
                <w:color w:val="000000"/>
              </w:rPr>
              <w:t>7.4</w:t>
            </w:r>
          </w:p>
        </w:tc>
      </w:tr>
      <w:tr w:rsidR="00545807" w:rsidRPr="00545807" w:rsidTr="00602D34">
        <w:trPr>
          <w:trHeight w:val="388"/>
        </w:trPr>
        <w:tc>
          <w:tcPr>
            <w:tcW w:w="1995" w:type="dxa"/>
            <w:tcBorders>
              <w:top w:val="nil"/>
              <w:left w:val="single" w:sz="8" w:space="0" w:color="auto"/>
              <w:bottom w:val="single" w:sz="4" w:space="0" w:color="auto"/>
              <w:right w:val="nil"/>
            </w:tcBorders>
            <w:shd w:val="clear" w:color="auto" w:fill="auto"/>
            <w:vAlign w:val="bottom"/>
            <w:hideMark/>
          </w:tcPr>
          <w:p w:rsidR="00545807" w:rsidRPr="00545807" w:rsidRDefault="00545807" w:rsidP="00545807">
            <w:pPr>
              <w:spacing w:after="0" w:line="240" w:lineRule="auto"/>
              <w:rPr>
                <w:rFonts w:ascii="Calibri" w:eastAsia="Times New Roman" w:hAnsi="Calibri" w:cs="Times New Roman"/>
                <w:color w:val="000000"/>
              </w:rPr>
            </w:pPr>
            <w:r w:rsidRPr="00545807">
              <w:rPr>
                <w:rFonts w:ascii="Calibri" w:eastAsia="Times New Roman" w:hAnsi="Calibri" w:cs="Times New Roman"/>
                <w:color w:val="000000"/>
              </w:rPr>
              <w:t>Southlake</w:t>
            </w:r>
          </w:p>
        </w:tc>
        <w:tc>
          <w:tcPr>
            <w:tcW w:w="797" w:type="dxa"/>
            <w:tcBorders>
              <w:top w:val="nil"/>
              <w:left w:val="single" w:sz="8" w:space="0" w:color="auto"/>
              <w:bottom w:val="single" w:sz="4" w:space="0" w:color="auto"/>
              <w:right w:val="single" w:sz="4" w:space="0" w:color="auto"/>
            </w:tcBorders>
            <w:shd w:val="clear" w:color="000000" w:fill="A7FFC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206</w:t>
            </w:r>
          </w:p>
        </w:tc>
        <w:tc>
          <w:tcPr>
            <w:tcW w:w="874" w:type="dxa"/>
            <w:tcBorders>
              <w:top w:val="nil"/>
              <w:left w:val="nil"/>
              <w:bottom w:val="single" w:sz="4" w:space="0" w:color="auto"/>
              <w:right w:val="single" w:sz="8" w:space="0" w:color="auto"/>
            </w:tcBorders>
            <w:shd w:val="clear" w:color="000000" w:fill="A7FFC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179</w:t>
            </w:r>
          </w:p>
        </w:tc>
        <w:tc>
          <w:tcPr>
            <w:tcW w:w="951"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5.3</w:t>
            </w:r>
          </w:p>
        </w:tc>
        <w:tc>
          <w:tcPr>
            <w:tcW w:w="1063"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5.2</w:t>
            </w:r>
          </w:p>
        </w:tc>
        <w:tc>
          <w:tcPr>
            <w:tcW w:w="1134"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23.2</w:t>
            </w:r>
          </w:p>
        </w:tc>
        <w:tc>
          <w:tcPr>
            <w:tcW w:w="951" w:type="dxa"/>
            <w:tcBorders>
              <w:top w:val="nil"/>
              <w:left w:val="nil"/>
              <w:bottom w:val="single" w:sz="4" w:space="0" w:color="auto"/>
              <w:right w:val="single" w:sz="8"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33.7</w:t>
            </w:r>
          </w:p>
        </w:tc>
        <w:tc>
          <w:tcPr>
            <w:tcW w:w="892"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3.0</w:t>
            </w:r>
          </w:p>
        </w:tc>
        <w:tc>
          <w:tcPr>
            <w:tcW w:w="851"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4.9</w:t>
            </w:r>
          </w:p>
        </w:tc>
        <w:tc>
          <w:tcPr>
            <w:tcW w:w="1134"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20.6</w:t>
            </w:r>
          </w:p>
        </w:tc>
        <w:tc>
          <w:tcPr>
            <w:tcW w:w="992" w:type="dxa"/>
            <w:tcBorders>
              <w:top w:val="nil"/>
              <w:left w:val="nil"/>
              <w:bottom w:val="single" w:sz="4" w:space="0" w:color="auto"/>
              <w:right w:val="single" w:sz="8" w:space="0" w:color="auto"/>
            </w:tcBorders>
            <w:shd w:val="clear" w:color="000000" w:fill="B7D4FF"/>
            <w:noWrap/>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28.5</w:t>
            </w:r>
          </w:p>
        </w:tc>
        <w:tc>
          <w:tcPr>
            <w:tcW w:w="1559" w:type="dxa"/>
            <w:tcBorders>
              <w:top w:val="nil"/>
              <w:left w:val="nil"/>
              <w:bottom w:val="single" w:sz="4" w:space="0" w:color="auto"/>
              <w:right w:val="single" w:sz="8" w:space="0" w:color="auto"/>
            </w:tcBorders>
            <w:shd w:val="clear" w:color="auto" w:fill="auto"/>
            <w:noWrap/>
            <w:vAlign w:val="bottom"/>
            <w:hideMark/>
          </w:tcPr>
          <w:p w:rsidR="00545807" w:rsidRPr="00545807" w:rsidRDefault="00545807" w:rsidP="00545807">
            <w:pPr>
              <w:spacing w:after="0" w:line="240" w:lineRule="auto"/>
              <w:jc w:val="center"/>
              <w:rPr>
                <w:rFonts w:ascii="Calibri" w:eastAsia="Times New Roman" w:hAnsi="Calibri" w:cs="Times New Roman"/>
                <w:b/>
                <w:bCs/>
                <w:color w:val="000000"/>
              </w:rPr>
            </w:pPr>
            <w:r w:rsidRPr="00545807">
              <w:rPr>
                <w:rFonts w:ascii="Calibri" w:eastAsia="Times New Roman" w:hAnsi="Calibri" w:cs="Times New Roman"/>
                <w:b/>
                <w:bCs/>
                <w:color w:val="000000"/>
              </w:rPr>
              <w:t>84.6</w:t>
            </w:r>
          </w:p>
        </w:tc>
      </w:tr>
      <w:tr w:rsidR="00545807" w:rsidRPr="00545807" w:rsidTr="00602D34">
        <w:trPr>
          <w:trHeight w:val="388"/>
        </w:trPr>
        <w:tc>
          <w:tcPr>
            <w:tcW w:w="1995" w:type="dxa"/>
            <w:tcBorders>
              <w:top w:val="nil"/>
              <w:left w:val="single" w:sz="8" w:space="0" w:color="auto"/>
              <w:bottom w:val="single" w:sz="4" w:space="0" w:color="auto"/>
              <w:right w:val="nil"/>
            </w:tcBorders>
            <w:shd w:val="clear" w:color="auto" w:fill="auto"/>
            <w:vAlign w:val="bottom"/>
            <w:hideMark/>
          </w:tcPr>
          <w:p w:rsidR="00545807" w:rsidRPr="00545807" w:rsidRDefault="00545807" w:rsidP="00545807">
            <w:pPr>
              <w:spacing w:after="0" w:line="240" w:lineRule="auto"/>
              <w:rPr>
                <w:rFonts w:ascii="Calibri" w:eastAsia="Times New Roman" w:hAnsi="Calibri" w:cs="Times New Roman"/>
                <w:color w:val="000000"/>
              </w:rPr>
            </w:pPr>
            <w:r w:rsidRPr="00545807">
              <w:rPr>
                <w:rFonts w:ascii="Calibri" w:eastAsia="Times New Roman" w:hAnsi="Calibri" w:cs="Times New Roman"/>
                <w:color w:val="000000"/>
              </w:rPr>
              <w:t>West Moor</w:t>
            </w:r>
          </w:p>
        </w:tc>
        <w:tc>
          <w:tcPr>
            <w:tcW w:w="797" w:type="dxa"/>
            <w:tcBorders>
              <w:top w:val="nil"/>
              <w:left w:val="single" w:sz="8" w:space="0" w:color="auto"/>
              <w:bottom w:val="single" w:sz="4" w:space="0" w:color="auto"/>
              <w:right w:val="single" w:sz="4" w:space="0" w:color="auto"/>
            </w:tcBorders>
            <w:shd w:val="clear" w:color="000000" w:fill="A7FFC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541</w:t>
            </w:r>
          </w:p>
        </w:tc>
        <w:tc>
          <w:tcPr>
            <w:tcW w:w="874" w:type="dxa"/>
            <w:tcBorders>
              <w:top w:val="nil"/>
              <w:left w:val="nil"/>
              <w:bottom w:val="single" w:sz="4" w:space="0" w:color="auto"/>
              <w:right w:val="single" w:sz="8" w:space="0" w:color="auto"/>
            </w:tcBorders>
            <w:shd w:val="clear" w:color="000000" w:fill="A7FFC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148</w:t>
            </w:r>
          </w:p>
        </w:tc>
        <w:tc>
          <w:tcPr>
            <w:tcW w:w="951"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9.2</w:t>
            </w:r>
          </w:p>
        </w:tc>
        <w:tc>
          <w:tcPr>
            <w:tcW w:w="1063"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13.7</w:t>
            </w:r>
          </w:p>
        </w:tc>
        <w:tc>
          <w:tcPr>
            <w:tcW w:w="1134"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45.2</w:t>
            </w:r>
          </w:p>
        </w:tc>
        <w:tc>
          <w:tcPr>
            <w:tcW w:w="951" w:type="dxa"/>
            <w:tcBorders>
              <w:top w:val="nil"/>
              <w:left w:val="nil"/>
              <w:bottom w:val="single" w:sz="4" w:space="0" w:color="auto"/>
              <w:right w:val="single" w:sz="8"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68.1</w:t>
            </w:r>
          </w:p>
        </w:tc>
        <w:tc>
          <w:tcPr>
            <w:tcW w:w="892"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0.0</w:t>
            </w:r>
          </w:p>
        </w:tc>
        <w:tc>
          <w:tcPr>
            <w:tcW w:w="851"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1.4</w:t>
            </w:r>
          </w:p>
        </w:tc>
        <w:tc>
          <w:tcPr>
            <w:tcW w:w="1134"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10.8</w:t>
            </w:r>
          </w:p>
        </w:tc>
        <w:tc>
          <w:tcPr>
            <w:tcW w:w="992" w:type="dxa"/>
            <w:tcBorders>
              <w:top w:val="nil"/>
              <w:left w:val="nil"/>
              <w:bottom w:val="single" w:sz="4" w:space="0" w:color="auto"/>
              <w:right w:val="single" w:sz="8" w:space="0" w:color="auto"/>
            </w:tcBorders>
            <w:shd w:val="clear" w:color="000000" w:fill="B7D4FF"/>
            <w:noWrap/>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12.2</w:t>
            </w:r>
          </w:p>
        </w:tc>
        <w:tc>
          <w:tcPr>
            <w:tcW w:w="1559" w:type="dxa"/>
            <w:tcBorders>
              <w:top w:val="nil"/>
              <w:left w:val="nil"/>
              <w:bottom w:val="single" w:sz="4" w:space="0" w:color="auto"/>
              <w:right w:val="single" w:sz="8" w:space="0" w:color="auto"/>
            </w:tcBorders>
            <w:shd w:val="clear" w:color="auto" w:fill="auto"/>
            <w:noWrap/>
            <w:vAlign w:val="bottom"/>
            <w:hideMark/>
          </w:tcPr>
          <w:p w:rsidR="00545807" w:rsidRPr="00545807" w:rsidRDefault="00545807" w:rsidP="00545807">
            <w:pPr>
              <w:spacing w:after="0" w:line="240" w:lineRule="auto"/>
              <w:jc w:val="center"/>
              <w:rPr>
                <w:rFonts w:ascii="Calibri" w:eastAsia="Times New Roman" w:hAnsi="Calibri" w:cs="Times New Roman"/>
                <w:b/>
                <w:bCs/>
                <w:color w:val="000000"/>
              </w:rPr>
            </w:pPr>
            <w:r w:rsidRPr="00545807">
              <w:rPr>
                <w:rFonts w:ascii="Calibri" w:eastAsia="Times New Roman" w:hAnsi="Calibri" w:cs="Times New Roman"/>
                <w:b/>
                <w:bCs/>
                <w:color w:val="000000"/>
              </w:rPr>
              <w:t>17.9</w:t>
            </w:r>
          </w:p>
        </w:tc>
      </w:tr>
      <w:tr w:rsidR="00545807" w:rsidRPr="00545807" w:rsidTr="00602D34">
        <w:trPr>
          <w:trHeight w:val="388"/>
        </w:trPr>
        <w:tc>
          <w:tcPr>
            <w:tcW w:w="1995" w:type="dxa"/>
            <w:tcBorders>
              <w:top w:val="nil"/>
              <w:left w:val="single" w:sz="8" w:space="0" w:color="auto"/>
              <w:bottom w:val="single" w:sz="4" w:space="0" w:color="auto"/>
              <w:right w:val="nil"/>
            </w:tcBorders>
            <w:shd w:val="clear" w:color="auto" w:fill="auto"/>
            <w:vAlign w:val="bottom"/>
            <w:hideMark/>
          </w:tcPr>
          <w:p w:rsidR="00545807" w:rsidRPr="00545807" w:rsidRDefault="00545807" w:rsidP="00545807">
            <w:pPr>
              <w:spacing w:after="0" w:line="240" w:lineRule="auto"/>
              <w:rPr>
                <w:rFonts w:ascii="Calibri" w:eastAsia="Times New Roman" w:hAnsi="Calibri" w:cs="Times New Roman"/>
                <w:color w:val="000000"/>
              </w:rPr>
            </w:pPr>
            <w:r w:rsidRPr="00545807">
              <w:rPr>
                <w:rFonts w:ascii="Calibri" w:eastAsia="Times New Roman" w:hAnsi="Calibri" w:cs="Times New Roman"/>
                <w:color w:val="000000"/>
              </w:rPr>
              <w:t>West Sedgemoor</w:t>
            </w:r>
          </w:p>
        </w:tc>
        <w:tc>
          <w:tcPr>
            <w:tcW w:w="797" w:type="dxa"/>
            <w:tcBorders>
              <w:top w:val="nil"/>
              <w:left w:val="single" w:sz="8" w:space="0" w:color="auto"/>
              <w:bottom w:val="single" w:sz="4" w:space="0" w:color="auto"/>
              <w:right w:val="single" w:sz="4" w:space="0" w:color="auto"/>
            </w:tcBorders>
            <w:shd w:val="clear" w:color="000000" w:fill="A7FFC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1576</w:t>
            </w:r>
          </w:p>
        </w:tc>
        <w:tc>
          <w:tcPr>
            <w:tcW w:w="874" w:type="dxa"/>
            <w:tcBorders>
              <w:top w:val="nil"/>
              <w:left w:val="nil"/>
              <w:bottom w:val="single" w:sz="4" w:space="0" w:color="auto"/>
              <w:right w:val="single" w:sz="8" w:space="0" w:color="auto"/>
            </w:tcBorders>
            <w:shd w:val="clear" w:color="000000" w:fill="A7FFC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577</w:t>
            </w:r>
          </w:p>
        </w:tc>
        <w:tc>
          <w:tcPr>
            <w:tcW w:w="951"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6.0</w:t>
            </w:r>
          </w:p>
        </w:tc>
        <w:tc>
          <w:tcPr>
            <w:tcW w:w="1063"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47.5</w:t>
            </w:r>
          </w:p>
        </w:tc>
        <w:tc>
          <w:tcPr>
            <w:tcW w:w="1134"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159.6</w:t>
            </w:r>
          </w:p>
        </w:tc>
        <w:tc>
          <w:tcPr>
            <w:tcW w:w="951" w:type="dxa"/>
            <w:tcBorders>
              <w:top w:val="nil"/>
              <w:left w:val="nil"/>
              <w:bottom w:val="single" w:sz="4" w:space="0" w:color="auto"/>
              <w:right w:val="single" w:sz="8"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213.1</w:t>
            </w:r>
          </w:p>
        </w:tc>
        <w:tc>
          <w:tcPr>
            <w:tcW w:w="892"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0.0</w:t>
            </w:r>
          </w:p>
        </w:tc>
        <w:tc>
          <w:tcPr>
            <w:tcW w:w="851"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2.5</w:t>
            </w:r>
          </w:p>
        </w:tc>
        <w:tc>
          <w:tcPr>
            <w:tcW w:w="1134"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48.8</w:t>
            </w:r>
          </w:p>
        </w:tc>
        <w:tc>
          <w:tcPr>
            <w:tcW w:w="992" w:type="dxa"/>
            <w:tcBorders>
              <w:top w:val="nil"/>
              <w:left w:val="nil"/>
              <w:bottom w:val="single" w:sz="4" w:space="0" w:color="auto"/>
              <w:right w:val="single" w:sz="8" w:space="0" w:color="auto"/>
            </w:tcBorders>
            <w:shd w:val="clear" w:color="000000" w:fill="B7D4FF"/>
            <w:noWrap/>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51.3</w:t>
            </w:r>
          </w:p>
        </w:tc>
        <w:tc>
          <w:tcPr>
            <w:tcW w:w="1559" w:type="dxa"/>
            <w:tcBorders>
              <w:top w:val="nil"/>
              <w:left w:val="nil"/>
              <w:bottom w:val="single" w:sz="4" w:space="0" w:color="auto"/>
              <w:right w:val="single" w:sz="8" w:space="0" w:color="auto"/>
            </w:tcBorders>
            <w:shd w:val="clear" w:color="auto" w:fill="auto"/>
            <w:noWrap/>
            <w:vAlign w:val="bottom"/>
            <w:hideMark/>
          </w:tcPr>
          <w:p w:rsidR="00545807" w:rsidRPr="00545807" w:rsidRDefault="00545807" w:rsidP="00545807">
            <w:pPr>
              <w:spacing w:after="0" w:line="240" w:lineRule="auto"/>
              <w:jc w:val="center"/>
              <w:rPr>
                <w:rFonts w:ascii="Calibri" w:eastAsia="Times New Roman" w:hAnsi="Calibri" w:cs="Times New Roman"/>
                <w:b/>
                <w:bCs/>
                <w:color w:val="000000"/>
              </w:rPr>
            </w:pPr>
            <w:r w:rsidRPr="00545807">
              <w:rPr>
                <w:rFonts w:ascii="Calibri" w:eastAsia="Times New Roman" w:hAnsi="Calibri" w:cs="Times New Roman"/>
                <w:b/>
                <w:bCs/>
                <w:color w:val="000000"/>
              </w:rPr>
              <w:t>24.1</w:t>
            </w:r>
          </w:p>
        </w:tc>
      </w:tr>
      <w:tr w:rsidR="00545807" w:rsidRPr="00545807" w:rsidTr="00602D34">
        <w:trPr>
          <w:trHeight w:val="388"/>
        </w:trPr>
        <w:tc>
          <w:tcPr>
            <w:tcW w:w="1995" w:type="dxa"/>
            <w:tcBorders>
              <w:top w:val="nil"/>
              <w:left w:val="single" w:sz="8" w:space="0" w:color="auto"/>
              <w:bottom w:val="single" w:sz="4" w:space="0" w:color="auto"/>
              <w:right w:val="nil"/>
            </w:tcBorders>
            <w:shd w:val="clear" w:color="auto" w:fill="auto"/>
            <w:vAlign w:val="bottom"/>
            <w:hideMark/>
          </w:tcPr>
          <w:p w:rsidR="00545807" w:rsidRPr="00545807" w:rsidRDefault="00545807" w:rsidP="00545807">
            <w:pPr>
              <w:spacing w:after="0" w:line="240" w:lineRule="auto"/>
              <w:rPr>
                <w:rFonts w:ascii="Calibri" w:eastAsia="Times New Roman" w:hAnsi="Calibri" w:cs="Times New Roman"/>
                <w:color w:val="000000"/>
              </w:rPr>
            </w:pPr>
            <w:r w:rsidRPr="00545807">
              <w:rPr>
                <w:rFonts w:ascii="Calibri" w:eastAsia="Times New Roman" w:hAnsi="Calibri" w:cs="Times New Roman"/>
                <w:color w:val="000000"/>
              </w:rPr>
              <w:t>Wet Moor</w:t>
            </w:r>
          </w:p>
        </w:tc>
        <w:tc>
          <w:tcPr>
            <w:tcW w:w="797" w:type="dxa"/>
            <w:tcBorders>
              <w:top w:val="nil"/>
              <w:left w:val="single" w:sz="8" w:space="0" w:color="auto"/>
              <w:bottom w:val="single" w:sz="4" w:space="0" w:color="auto"/>
              <w:right w:val="single" w:sz="4" w:space="0" w:color="auto"/>
            </w:tcBorders>
            <w:shd w:val="clear" w:color="000000" w:fill="A7FFC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1487</w:t>
            </w:r>
          </w:p>
        </w:tc>
        <w:tc>
          <w:tcPr>
            <w:tcW w:w="874" w:type="dxa"/>
            <w:tcBorders>
              <w:top w:val="nil"/>
              <w:left w:val="nil"/>
              <w:bottom w:val="single" w:sz="4" w:space="0" w:color="auto"/>
              <w:right w:val="single" w:sz="8" w:space="0" w:color="auto"/>
            </w:tcBorders>
            <w:shd w:val="clear" w:color="000000" w:fill="A7FFC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371</w:t>
            </w:r>
          </w:p>
        </w:tc>
        <w:tc>
          <w:tcPr>
            <w:tcW w:w="951"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24.4</w:t>
            </w:r>
          </w:p>
        </w:tc>
        <w:tc>
          <w:tcPr>
            <w:tcW w:w="1063"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41.1</w:t>
            </w:r>
          </w:p>
        </w:tc>
        <w:tc>
          <w:tcPr>
            <w:tcW w:w="1134" w:type="dxa"/>
            <w:tcBorders>
              <w:top w:val="nil"/>
              <w:left w:val="nil"/>
              <w:bottom w:val="single" w:sz="4" w:space="0" w:color="auto"/>
              <w:right w:val="single" w:sz="4"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82.2</w:t>
            </w:r>
          </w:p>
        </w:tc>
        <w:tc>
          <w:tcPr>
            <w:tcW w:w="951" w:type="dxa"/>
            <w:tcBorders>
              <w:top w:val="nil"/>
              <w:left w:val="nil"/>
              <w:bottom w:val="single" w:sz="4" w:space="0" w:color="auto"/>
              <w:right w:val="single" w:sz="8" w:space="0" w:color="auto"/>
            </w:tcBorders>
            <w:shd w:val="clear" w:color="000000" w:fill="FFFFAB"/>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147.7</w:t>
            </w:r>
          </w:p>
        </w:tc>
        <w:tc>
          <w:tcPr>
            <w:tcW w:w="892"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0.8</w:t>
            </w:r>
          </w:p>
        </w:tc>
        <w:tc>
          <w:tcPr>
            <w:tcW w:w="851"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9.5</w:t>
            </w:r>
          </w:p>
        </w:tc>
        <w:tc>
          <w:tcPr>
            <w:tcW w:w="1134" w:type="dxa"/>
            <w:tcBorders>
              <w:top w:val="nil"/>
              <w:left w:val="nil"/>
              <w:bottom w:val="single" w:sz="4" w:space="0" w:color="auto"/>
              <w:right w:val="single" w:sz="4" w:space="0" w:color="auto"/>
            </w:tcBorders>
            <w:shd w:val="clear" w:color="000000" w:fill="B7D4FF"/>
            <w:vAlign w:val="bottom"/>
            <w:hideMark/>
          </w:tcPr>
          <w:p w:rsidR="00545807" w:rsidRPr="00545807" w:rsidRDefault="00545807" w:rsidP="00545807">
            <w:pPr>
              <w:spacing w:after="0" w:line="240" w:lineRule="auto"/>
              <w:jc w:val="right"/>
              <w:rPr>
                <w:rFonts w:ascii="Calibri" w:eastAsia="Times New Roman" w:hAnsi="Calibri" w:cs="Times New Roman"/>
                <w:color w:val="000000"/>
              </w:rPr>
            </w:pPr>
            <w:r w:rsidRPr="00545807">
              <w:rPr>
                <w:rFonts w:ascii="Calibri" w:eastAsia="Times New Roman" w:hAnsi="Calibri" w:cs="Times New Roman"/>
                <w:color w:val="000000"/>
              </w:rPr>
              <w:t>33.4</w:t>
            </w:r>
          </w:p>
        </w:tc>
        <w:tc>
          <w:tcPr>
            <w:tcW w:w="992" w:type="dxa"/>
            <w:tcBorders>
              <w:top w:val="nil"/>
              <w:left w:val="nil"/>
              <w:bottom w:val="single" w:sz="4" w:space="0" w:color="auto"/>
              <w:right w:val="single" w:sz="8" w:space="0" w:color="auto"/>
            </w:tcBorders>
            <w:shd w:val="clear" w:color="000000" w:fill="B7D4FF"/>
            <w:noWrap/>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43.7</w:t>
            </w:r>
          </w:p>
        </w:tc>
        <w:tc>
          <w:tcPr>
            <w:tcW w:w="1559" w:type="dxa"/>
            <w:tcBorders>
              <w:top w:val="nil"/>
              <w:left w:val="nil"/>
              <w:bottom w:val="single" w:sz="4" w:space="0" w:color="auto"/>
              <w:right w:val="single" w:sz="8" w:space="0" w:color="auto"/>
            </w:tcBorders>
            <w:shd w:val="clear" w:color="auto" w:fill="auto"/>
            <w:noWrap/>
            <w:vAlign w:val="bottom"/>
            <w:hideMark/>
          </w:tcPr>
          <w:p w:rsidR="00545807" w:rsidRPr="00545807" w:rsidRDefault="00545807" w:rsidP="00545807">
            <w:pPr>
              <w:spacing w:after="0" w:line="240" w:lineRule="auto"/>
              <w:jc w:val="center"/>
              <w:rPr>
                <w:rFonts w:ascii="Calibri" w:eastAsia="Times New Roman" w:hAnsi="Calibri" w:cs="Times New Roman"/>
                <w:b/>
                <w:bCs/>
                <w:color w:val="000000"/>
              </w:rPr>
            </w:pPr>
            <w:r w:rsidRPr="00545807">
              <w:rPr>
                <w:rFonts w:ascii="Calibri" w:eastAsia="Times New Roman" w:hAnsi="Calibri" w:cs="Times New Roman"/>
                <w:b/>
                <w:bCs/>
                <w:color w:val="000000"/>
              </w:rPr>
              <w:t>29.6</w:t>
            </w:r>
          </w:p>
        </w:tc>
      </w:tr>
      <w:tr w:rsidR="00545807" w:rsidRPr="00545807" w:rsidTr="00602D34">
        <w:trPr>
          <w:trHeight w:val="375"/>
        </w:trPr>
        <w:tc>
          <w:tcPr>
            <w:tcW w:w="1995" w:type="dxa"/>
            <w:tcBorders>
              <w:top w:val="nil"/>
              <w:left w:val="single" w:sz="8" w:space="0" w:color="auto"/>
              <w:bottom w:val="single" w:sz="8" w:space="0" w:color="auto"/>
              <w:right w:val="nil"/>
            </w:tcBorders>
            <w:shd w:val="clear" w:color="auto" w:fill="auto"/>
            <w:vAlign w:val="bottom"/>
            <w:hideMark/>
          </w:tcPr>
          <w:p w:rsidR="00545807" w:rsidRPr="00545807" w:rsidRDefault="00545807" w:rsidP="00545807">
            <w:pPr>
              <w:spacing w:after="0" w:line="240" w:lineRule="auto"/>
              <w:rPr>
                <w:rFonts w:ascii="Calibri" w:eastAsia="Times New Roman" w:hAnsi="Calibri" w:cs="Times New Roman"/>
                <w:b/>
                <w:bCs/>
                <w:color w:val="000000"/>
              </w:rPr>
            </w:pPr>
            <w:r w:rsidRPr="00545807">
              <w:rPr>
                <w:rFonts w:ascii="Calibri" w:eastAsia="Times New Roman" w:hAnsi="Calibri" w:cs="Times New Roman"/>
                <w:b/>
                <w:bCs/>
                <w:color w:val="000000"/>
              </w:rPr>
              <w:t>Total all areas</w:t>
            </w:r>
          </w:p>
        </w:tc>
        <w:tc>
          <w:tcPr>
            <w:tcW w:w="797" w:type="dxa"/>
            <w:tcBorders>
              <w:top w:val="nil"/>
              <w:left w:val="single" w:sz="8" w:space="0" w:color="auto"/>
              <w:bottom w:val="single" w:sz="8" w:space="0" w:color="auto"/>
              <w:right w:val="single" w:sz="4" w:space="0" w:color="auto"/>
            </w:tcBorders>
            <w:shd w:val="clear" w:color="000000" w:fill="A7FFCF"/>
            <w:noWrap/>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19265</w:t>
            </w:r>
          </w:p>
        </w:tc>
        <w:tc>
          <w:tcPr>
            <w:tcW w:w="874" w:type="dxa"/>
            <w:tcBorders>
              <w:top w:val="nil"/>
              <w:left w:val="nil"/>
              <w:bottom w:val="single" w:sz="8" w:space="0" w:color="auto"/>
              <w:right w:val="single" w:sz="8" w:space="0" w:color="auto"/>
            </w:tcBorders>
            <w:shd w:val="clear" w:color="000000" w:fill="A7FFCF"/>
            <w:noWrap/>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2530</w:t>
            </w:r>
          </w:p>
        </w:tc>
        <w:tc>
          <w:tcPr>
            <w:tcW w:w="951" w:type="dxa"/>
            <w:tcBorders>
              <w:top w:val="nil"/>
              <w:left w:val="nil"/>
              <w:bottom w:val="single" w:sz="8" w:space="0" w:color="auto"/>
              <w:right w:val="single" w:sz="4" w:space="0" w:color="auto"/>
            </w:tcBorders>
            <w:shd w:val="clear" w:color="000000" w:fill="FFFFAB"/>
            <w:noWrap/>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210.6</w:t>
            </w:r>
          </w:p>
        </w:tc>
        <w:tc>
          <w:tcPr>
            <w:tcW w:w="1063" w:type="dxa"/>
            <w:tcBorders>
              <w:top w:val="nil"/>
              <w:left w:val="nil"/>
              <w:bottom w:val="single" w:sz="8" w:space="0" w:color="auto"/>
              <w:right w:val="single" w:sz="4" w:space="0" w:color="auto"/>
            </w:tcBorders>
            <w:shd w:val="clear" w:color="000000" w:fill="FFFFAB"/>
            <w:noWrap/>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446.9</w:t>
            </w:r>
          </w:p>
        </w:tc>
        <w:tc>
          <w:tcPr>
            <w:tcW w:w="1134" w:type="dxa"/>
            <w:tcBorders>
              <w:top w:val="nil"/>
              <w:left w:val="nil"/>
              <w:bottom w:val="single" w:sz="8" w:space="0" w:color="auto"/>
              <w:right w:val="single" w:sz="4" w:space="0" w:color="auto"/>
            </w:tcBorders>
            <w:shd w:val="clear" w:color="000000" w:fill="FFFFAB"/>
            <w:noWrap/>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1780.6</w:t>
            </w:r>
          </w:p>
        </w:tc>
        <w:tc>
          <w:tcPr>
            <w:tcW w:w="951" w:type="dxa"/>
            <w:tcBorders>
              <w:top w:val="nil"/>
              <w:left w:val="nil"/>
              <w:bottom w:val="single" w:sz="8" w:space="0" w:color="auto"/>
              <w:right w:val="single" w:sz="8" w:space="0" w:color="auto"/>
            </w:tcBorders>
            <w:shd w:val="clear" w:color="000000" w:fill="FFFFAB"/>
            <w:noWrap/>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2438.1</w:t>
            </w:r>
          </w:p>
        </w:tc>
        <w:tc>
          <w:tcPr>
            <w:tcW w:w="892" w:type="dxa"/>
            <w:tcBorders>
              <w:top w:val="nil"/>
              <w:left w:val="nil"/>
              <w:bottom w:val="single" w:sz="8" w:space="0" w:color="auto"/>
              <w:right w:val="single" w:sz="4" w:space="0" w:color="auto"/>
            </w:tcBorders>
            <w:shd w:val="clear" w:color="000000" w:fill="B7D4FF"/>
            <w:noWrap/>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3.8</w:t>
            </w:r>
          </w:p>
        </w:tc>
        <w:tc>
          <w:tcPr>
            <w:tcW w:w="851" w:type="dxa"/>
            <w:tcBorders>
              <w:top w:val="nil"/>
              <w:left w:val="nil"/>
              <w:bottom w:val="single" w:sz="8" w:space="0" w:color="auto"/>
              <w:right w:val="single" w:sz="4" w:space="0" w:color="auto"/>
            </w:tcBorders>
            <w:shd w:val="clear" w:color="000000" w:fill="B7D4FF"/>
            <w:noWrap/>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34.4</w:t>
            </w:r>
          </w:p>
        </w:tc>
        <w:tc>
          <w:tcPr>
            <w:tcW w:w="1134" w:type="dxa"/>
            <w:tcBorders>
              <w:top w:val="nil"/>
              <w:left w:val="nil"/>
              <w:bottom w:val="single" w:sz="8" w:space="0" w:color="auto"/>
              <w:right w:val="single" w:sz="4" w:space="0" w:color="auto"/>
            </w:tcBorders>
            <w:shd w:val="clear" w:color="000000" w:fill="B7D4FF"/>
            <w:noWrap/>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226.5</w:t>
            </w:r>
          </w:p>
        </w:tc>
        <w:tc>
          <w:tcPr>
            <w:tcW w:w="992" w:type="dxa"/>
            <w:tcBorders>
              <w:top w:val="nil"/>
              <w:left w:val="nil"/>
              <w:bottom w:val="single" w:sz="8" w:space="0" w:color="auto"/>
              <w:right w:val="single" w:sz="8" w:space="0" w:color="auto"/>
            </w:tcBorders>
            <w:shd w:val="clear" w:color="000000" w:fill="B7D4FF"/>
            <w:noWrap/>
            <w:vAlign w:val="bottom"/>
            <w:hideMark/>
          </w:tcPr>
          <w:p w:rsidR="00545807" w:rsidRPr="00545807" w:rsidRDefault="00545807" w:rsidP="00545807">
            <w:pPr>
              <w:spacing w:after="0" w:line="240" w:lineRule="auto"/>
              <w:jc w:val="right"/>
              <w:rPr>
                <w:rFonts w:ascii="Calibri" w:eastAsia="Times New Roman" w:hAnsi="Calibri" w:cs="Times New Roman"/>
                <w:b/>
                <w:bCs/>
                <w:color w:val="000000"/>
              </w:rPr>
            </w:pPr>
            <w:r w:rsidRPr="00545807">
              <w:rPr>
                <w:rFonts w:ascii="Calibri" w:eastAsia="Times New Roman" w:hAnsi="Calibri" w:cs="Times New Roman"/>
                <w:b/>
                <w:bCs/>
                <w:color w:val="000000"/>
              </w:rPr>
              <w:t>264.7</w:t>
            </w:r>
          </w:p>
        </w:tc>
        <w:tc>
          <w:tcPr>
            <w:tcW w:w="1559" w:type="dxa"/>
            <w:tcBorders>
              <w:top w:val="nil"/>
              <w:left w:val="nil"/>
              <w:bottom w:val="single" w:sz="8" w:space="0" w:color="auto"/>
              <w:right w:val="single" w:sz="8" w:space="0" w:color="auto"/>
            </w:tcBorders>
            <w:shd w:val="clear" w:color="000000" w:fill="D8D8D8"/>
            <w:noWrap/>
            <w:vAlign w:val="bottom"/>
            <w:hideMark/>
          </w:tcPr>
          <w:p w:rsidR="00545807" w:rsidRPr="00545807" w:rsidRDefault="00545807" w:rsidP="00545807">
            <w:pPr>
              <w:spacing w:after="0" w:line="240" w:lineRule="auto"/>
              <w:jc w:val="center"/>
              <w:rPr>
                <w:rFonts w:ascii="Calibri" w:eastAsia="Times New Roman" w:hAnsi="Calibri" w:cs="Times New Roman"/>
                <w:b/>
                <w:bCs/>
                <w:color w:val="000000"/>
              </w:rPr>
            </w:pPr>
            <w:r w:rsidRPr="00545807">
              <w:rPr>
                <w:rFonts w:ascii="Calibri" w:eastAsia="Times New Roman" w:hAnsi="Calibri" w:cs="Times New Roman"/>
                <w:b/>
                <w:bCs/>
                <w:color w:val="000000"/>
              </w:rPr>
              <w:t> </w:t>
            </w:r>
          </w:p>
        </w:tc>
      </w:tr>
    </w:tbl>
    <w:p w:rsidR="00545807" w:rsidRDefault="00545807" w:rsidP="00896C2C">
      <w:pPr>
        <w:jc w:val="both"/>
        <w:sectPr w:rsidR="00545807" w:rsidSect="00545807">
          <w:pgSz w:w="16838" w:h="11906" w:orient="landscape"/>
          <w:pgMar w:top="1440" w:right="1440" w:bottom="1440" w:left="1440" w:header="708" w:footer="708" w:gutter="0"/>
          <w:cols w:space="708"/>
          <w:docGrid w:linePitch="360"/>
        </w:sectPr>
      </w:pPr>
    </w:p>
    <w:p w:rsidR="00BB088B" w:rsidRDefault="00BB088B" w:rsidP="00BB088B">
      <w:pPr>
        <w:keepNext/>
        <w:jc w:val="both"/>
      </w:pPr>
      <w:r>
        <w:rPr>
          <w:noProof/>
        </w:rPr>
        <w:lastRenderedPageBreak/>
        <w:drawing>
          <wp:inline distT="0" distB="0" distL="0" distR="0">
            <wp:extent cx="5731510" cy="8098155"/>
            <wp:effectExtent l="19050" t="0" r="2540" b="0"/>
            <wp:docPr id="7" name="Picture 6" descr="SLMs Ditch Network_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Ms Ditch Network_v2.tif"/>
                    <pic:cNvPicPr/>
                  </pic:nvPicPr>
                  <pic:blipFill>
                    <a:blip r:embed="rId13" cstate="email">
                      <a:extLst>
                        <a:ext uri="{28A0092B-C50C-407E-A947-70E740481C1C}">
                          <a14:useLocalDpi xmlns:a14="http://schemas.microsoft.com/office/drawing/2010/main"/>
                        </a:ext>
                      </a:extLst>
                    </a:blip>
                    <a:stretch>
                      <a:fillRect/>
                    </a:stretch>
                  </pic:blipFill>
                  <pic:spPr>
                    <a:xfrm>
                      <a:off x="0" y="0"/>
                      <a:ext cx="5731510" cy="8098155"/>
                    </a:xfrm>
                    <a:prstGeom prst="rect">
                      <a:avLst/>
                    </a:prstGeom>
                  </pic:spPr>
                </pic:pic>
              </a:graphicData>
            </a:graphic>
          </wp:inline>
        </w:drawing>
      </w:r>
    </w:p>
    <w:p w:rsidR="00FC6E62" w:rsidRPr="00BB088B" w:rsidRDefault="00BB088B" w:rsidP="00BB088B">
      <w:pPr>
        <w:pStyle w:val="Caption"/>
        <w:jc w:val="both"/>
        <w:rPr>
          <w:b w:val="0"/>
          <w:color w:val="auto"/>
          <w:sz w:val="22"/>
          <w:szCs w:val="22"/>
        </w:rPr>
      </w:pPr>
      <w:r w:rsidRPr="00BB088B">
        <w:rPr>
          <w:b w:val="0"/>
          <w:color w:val="auto"/>
          <w:sz w:val="22"/>
          <w:szCs w:val="22"/>
        </w:rPr>
        <w:t xml:space="preserve">Figure </w:t>
      </w:r>
      <w:r w:rsidRPr="00BB088B">
        <w:rPr>
          <w:b w:val="0"/>
          <w:color w:val="auto"/>
          <w:sz w:val="22"/>
          <w:szCs w:val="22"/>
        </w:rPr>
        <w:fldChar w:fldCharType="begin"/>
      </w:r>
      <w:r w:rsidRPr="00BB088B">
        <w:rPr>
          <w:b w:val="0"/>
          <w:color w:val="auto"/>
          <w:sz w:val="22"/>
          <w:szCs w:val="22"/>
        </w:rPr>
        <w:instrText xml:space="preserve"> SEQ Figure \* ARABIC </w:instrText>
      </w:r>
      <w:r w:rsidRPr="00BB088B">
        <w:rPr>
          <w:b w:val="0"/>
          <w:color w:val="auto"/>
          <w:sz w:val="22"/>
          <w:szCs w:val="22"/>
        </w:rPr>
        <w:fldChar w:fldCharType="separate"/>
      </w:r>
      <w:r w:rsidR="000E193B">
        <w:rPr>
          <w:b w:val="0"/>
          <w:noProof/>
          <w:color w:val="auto"/>
          <w:sz w:val="22"/>
          <w:szCs w:val="22"/>
        </w:rPr>
        <w:t>2</w:t>
      </w:r>
      <w:r w:rsidRPr="00BB088B">
        <w:rPr>
          <w:b w:val="0"/>
          <w:color w:val="auto"/>
          <w:sz w:val="22"/>
          <w:szCs w:val="22"/>
        </w:rPr>
        <w:fldChar w:fldCharType="end"/>
      </w:r>
      <w:r w:rsidR="00F54328">
        <w:rPr>
          <w:b w:val="0"/>
          <w:color w:val="auto"/>
          <w:sz w:val="22"/>
          <w:szCs w:val="22"/>
        </w:rPr>
        <w:t>.</w:t>
      </w:r>
      <w:r w:rsidRPr="00BB088B">
        <w:rPr>
          <w:b w:val="0"/>
          <w:color w:val="auto"/>
          <w:sz w:val="22"/>
          <w:szCs w:val="22"/>
        </w:rPr>
        <w:t xml:space="preserve"> Aerial photo of the Somerset Levels and Moors showing the Water Level Management Plan (WLMP) areas. Also shown is the network of watercourses in the WLMP area and the watercourses managed as part of the Raised Water Level Areas (RWLA). (ii)</w:t>
      </w:r>
      <w:r w:rsidRPr="00BB088B">
        <w:rPr>
          <w:b w:val="0"/>
          <w:color w:val="auto"/>
          <w:sz w:val="22"/>
          <w:szCs w:val="22"/>
        </w:rPr>
        <w:tab/>
        <w:t>© NextPerspectives</w:t>
      </w:r>
    </w:p>
    <w:p w:rsidR="00015842" w:rsidRPr="00015842" w:rsidRDefault="00015842" w:rsidP="00015842">
      <w:pPr>
        <w:pStyle w:val="Caption"/>
        <w:keepNext/>
        <w:jc w:val="both"/>
        <w:rPr>
          <w:b w:val="0"/>
          <w:color w:val="auto"/>
          <w:sz w:val="22"/>
          <w:szCs w:val="22"/>
        </w:rPr>
      </w:pPr>
      <w:r w:rsidRPr="00015842">
        <w:rPr>
          <w:b w:val="0"/>
          <w:color w:val="auto"/>
          <w:sz w:val="22"/>
          <w:szCs w:val="22"/>
        </w:rPr>
        <w:lastRenderedPageBreak/>
        <w:t xml:space="preserve">Table </w:t>
      </w:r>
      <w:r w:rsidR="00251534" w:rsidRPr="00015842">
        <w:rPr>
          <w:b w:val="0"/>
          <w:color w:val="auto"/>
          <w:sz w:val="22"/>
          <w:szCs w:val="22"/>
        </w:rPr>
        <w:fldChar w:fldCharType="begin"/>
      </w:r>
      <w:r w:rsidRPr="00015842">
        <w:rPr>
          <w:b w:val="0"/>
          <w:color w:val="auto"/>
          <w:sz w:val="22"/>
          <w:szCs w:val="22"/>
        </w:rPr>
        <w:instrText xml:space="preserve"> SEQ Table \* ARABIC </w:instrText>
      </w:r>
      <w:r w:rsidR="00251534" w:rsidRPr="00015842">
        <w:rPr>
          <w:b w:val="0"/>
          <w:color w:val="auto"/>
          <w:sz w:val="22"/>
          <w:szCs w:val="22"/>
        </w:rPr>
        <w:fldChar w:fldCharType="separate"/>
      </w:r>
      <w:r w:rsidR="000E193B">
        <w:rPr>
          <w:b w:val="0"/>
          <w:noProof/>
          <w:color w:val="auto"/>
          <w:sz w:val="22"/>
          <w:szCs w:val="22"/>
        </w:rPr>
        <w:t>2</w:t>
      </w:r>
      <w:r w:rsidR="00251534" w:rsidRPr="00015842">
        <w:rPr>
          <w:b w:val="0"/>
          <w:color w:val="auto"/>
          <w:sz w:val="22"/>
          <w:szCs w:val="22"/>
        </w:rPr>
        <w:fldChar w:fldCharType="end"/>
      </w:r>
      <w:r w:rsidR="00F54328">
        <w:rPr>
          <w:b w:val="0"/>
          <w:color w:val="auto"/>
          <w:sz w:val="22"/>
          <w:szCs w:val="22"/>
        </w:rPr>
        <w:t>.</w:t>
      </w:r>
      <w:r w:rsidRPr="00015842">
        <w:rPr>
          <w:b w:val="0"/>
          <w:color w:val="auto"/>
          <w:sz w:val="22"/>
          <w:szCs w:val="22"/>
        </w:rPr>
        <w:t xml:space="preserve"> </w:t>
      </w:r>
      <w:r w:rsidRPr="00015842">
        <w:rPr>
          <w:rFonts w:ascii="Calibri" w:eastAsia="Calibri" w:hAnsi="Calibri" w:cs="Arial"/>
          <w:b w:val="0"/>
          <w:color w:val="auto"/>
          <w:sz w:val="22"/>
          <w:szCs w:val="22"/>
        </w:rPr>
        <w:t xml:space="preserve">Summary of criteria used to determine the water level regime required and extent of associated conditions required to achieve favourable condition for North Moor SSSI. </w:t>
      </w:r>
      <w:r w:rsidRPr="00015842">
        <w:rPr>
          <w:rFonts w:ascii="Calibri" w:eastAsia="Calibri" w:hAnsi="Calibri" w:cs="Arial"/>
          <w:b w:val="0"/>
          <w:i/>
          <w:color w:val="auto"/>
          <w:sz w:val="22"/>
          <w:szCs w:val="22"/>
        </w:rPr>
        <w:t>(Table provided by the Parrett Internal Drainage Board)</w:t>
      </w:r>
    </w:p>
    <w:p w:rsidR="003A5B4C" w:rsidRPr="00896C2C" w:rsidRDefault="003A5B4C" w:rsidP="006720E7">
      <w:pPr>
        <w:jc w:val="center"/>
        <w:rPr>
          <w:b/>
        </w:rPr>
      </w:pPr>
      <w:r>
        <w:rPr>
          <w:b/>
          <w:noProof/>
        </w:rPr>
        <w:drawing>
          <wp:inline distT="0" distB="0" distL="0" distR="0">
            <wp:extent cx="5455568" cy="6156102"/>
            <wp:effectExtent l="19050" t="0" r="0" b="0"/>
            <wp:docPr id="5" name="Picture 4" descr="Water level conditions used in 2010 WLMP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level conditions used in 2010 WLMP_crop.jpg"/>
                    <pic:cNvPicPr/>
                  </pic:nvPicPr>
                  <pic:blipFill>
                    <a:blip r:embed="rId14" cstate="email">
                      <a:extLst>
                        <a:ext uri="{28A0092B-C50C-407E-A947-70E740481C1C}">
                          <a14:useLocalDpi xmlns:a14="http://schemas.microsoft.com/office/drawing/2010/main"/>
                        </a:ext>
                      </a:extLst>
                    </a:blip>
                    <a:stretch>
                      <a:fillRect/>
                    </a:stretch>
                  </pic:blipFill>
                  <pic:spPr>
                    <a:xfrm>
                      <a:off x="0" y="0"/>
                      <a:ext cx="5469449" cy="6171765"/>
                    </a:xfrm>
                    <a:prstGeom prst="rect">
                      <a:avLst/>
                    </a:prstGeom>
                  </pic:spPr>
                </pic:pic>
              </a:graphicData>
            </a:graphic>
          </wp:inline>
        </w:drawing>
      </w:r>
    </w:p>
    <w:p w:rsidR="00B4335D" w:rsidRDefault="00B4335D">
      <w:pPr>
        <w:rPr>
          <w:rFonts w:asciiTheme="majorHAnsi" w:eastAsiaTheme="majorEastAsia" w:hAnsiTheme="majorHAnsi" w:cstheme="majorBidi"/>
          <w:b/>
          <w:bCs/>
          <w:color w:val="4F81BD" w:themeColor="accent1"/>
          <w:sz w:val="26"/>
          <w:szCs w:val="26"/>
        </w:rPr>
      </w:pPr>
      <w:r>
        <w:br w:type="page"/>
      </w:r>
    </w:p>
    <w:p w:rsidR="00896C2C" w:rsidRDefault="00896C2C" w:rsidP="00B4335D">
      <w:pPr>
        <w:pStyle w:val="Heading2"/>
        <w:numPr>
          <w:ilvl w:val="0"/>
          <w:numId w:val="16"/>
        </w:numPr>
      </w:pPr>
      <w:bookmarkStart w:id="4" w:name="_Toc402956171"/>
      <w:r>
        <w:lastRenderedPageBreak/>
        <w:t>Hydrological Conceptualisation</w:t>
      </w:r>
      <w:bookmarkEnd w:id="4"/>
    </w:p>
    <w:p w:rsidR="00B4335D" w:rsidRPr="00B4335D" w:rsidRDefault="00B4335D" w:rsidP="00B4335D"/>
    <w:p w:rsidR="00882FED" w:rsidRPr="00882FED" w:rsidRDefault="00611567" w:rsidP="002C0EAE">
      <w:pPr>
        <w:jc w:val="both"/>
        <w:rPr>
          <w:rFonts w:cs="Times-Roman"/>
        </w:rPr>
      </w:pPr>
      <w:r>
        <w:t xml:space="preserve">In order to understand the mechanisms that drive </w:t>
      </w:r>
      <w:r w:rsidR="0066112D">
        <w:t xml:space="preserve">the quantity of water within the study area, a conceptual understanding of the hydrological processes is presented. This simplified representation is a robust starting point for any subsequent analysis. </w:t>
      </w:r>
      <w:r w:rsidR="00BF2F88">
        <w:t xml:space="preserve">The main hydrological processes in the </w:t>
      </w:r>
      <w:r w:rsidR="0066112D">
        <w:t xml:space="preserve">Somerset Levels and Moors </w:t>
      </w:r>
      <w:r w:rsidR="009F5D32">
        <w:t>are shown in figure 3</w:t>
      </w:r>
      <w:r w:rsidR="00BF2F88">
        <w:t xml:space="preserve">, adapted from Acreman (2005). </w:t>
      </w:r>
      <w:r w:rsidR="002C0EAE">
        <w:t>Note that this conceptualisation does not include the wider pumping network or the influence of sea level upon the ability to remove water from the study area.</w:t>
      </w:r>
    </w:p>
    <w:p w:rsidR="0066112D" w:rsidRDefault="000F0CCA" w:rsidP="0066112D">
      <w:pPr>
        <w:keepNext/>
      </w:pPr>
      <w:r>
        <w:rPr>
          <w:noProof/>
        </w:rPr>
        <w:drawing>
          <wp:inline distT="0" distB="0" distL="0" distR="0">
            <wp:extent cx="5731510" cy="2199661"/>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731510" cy="2199661"/>
                    </a:xfrm>
                    <a:prstGeom prst="rect">
                      <a:avLst/>
                    </a:prstGeom>
                    <a:noFill/>
                    <a:ln w="9525">
                      <a:noFill/>
                      <a:miter lim="800000"/>
                      <a:headEnd/>
                      <a:tailEnd/>
                    </a:ln>
                  </pic:spPr>
                </pic:pic>
              </a:graphicData>
            </a:graphic>
          </wp:inline>
        </w:drawing>
      </w:r>
    </w:p>
    <w:p w:rsidR="0066112D" w:rsidRDefault="0066112D" w:rsidP="00E01EBE">
      <w:pPr>
        <w:autoSpaceDE w:val="0"/>
        <w:autoSpaceDN w:val="0"/>
        <w:adjustRightInd w:val="0"/>
        <w:spacing w:after="0"/>
        <w:jc w:val="both"/>
        <w:rPr>
          <w:rFonts w:cs="Times-Bold"/>
          <w:b/>
          <w:bCs/>
        </w:rPr>
      </w:pPr>
      <w:r>
        <w:t xml:space="preserve">Figure </w:t>
      </w:r>
      <w:r w:rsidR="00251534">
        <w:fldChar w:fldCharType="begin"/>
      </w:r>
      <w:r w:rsidR="00403975">
        <w:instrText xml:space="preserve"> SEQ Figure \* ARABIC </w:instrText>
      </w:r>
      <w:r w:rsidR="00251534">
        <w:fldChar w:fldCharType="separate"/>
      </w:r>
      <w:r w:rsidR="000E193B">
        <w:rPr>
          <w:noProof/>
        </w:rPr>
        <w:t>3</w:t>
      </w:r>
      <w:r w:rsidR="00251534">
        <w:rPr>
          <w:noProof/>
        </w:rPr>
        <w:fldChar w:fldCharType="end"/>
      </w:r>
      <w:r w:rsidR="00F54328">
        <w:rPr>
          <w:noProof/>
        </w:rPr>
        <w:t>.</w:t>
      </w:r>
      <w:r>
        <w:t xml:space="preserve"> </w:t>
      </w:r>
      <w:r w:rsidRPr="0066112D">
        <w:rPr>
          <w:rFonts w:cs="Times-Bold"/>
          <w:bCs/>
        </w:rPr>
        <w:t>Valley bottom wetland Surface and groundwater-fed:</w:t>
      </w:r>
      <w:r>
        <w:rPr>
          <w:rFonts w:cs="Times-Bold"/>
          <w:b/>
          <w:bCs/>
        </w:rPr>
        <w:t xml:space="preserve"> </w:t>
      </w:r>
      <w:r w:rsidRPr="00882FED">
        <w:rPr>
          <w:rFonts w:cs="Times-Roman"/>
        </w:rPr>
        <w:t xml:space="preserve">Wetland </w:t>
      </w:r>
      <w:r>
        <w:rPr>
          <w:rFonts w:cs="Times-Roman"/>
        </w:rPr>
        <w:t xml:space="preserve">(solid green shading) </w:t>
      </w:r>
      <w:r w:rsidRPr="00882FED">
        <w:rPr>
          <w:rFonts w:cs="Times-Roman"/>
        </w:rPr>
        <w:t>separated from</w:t>
      </w:r>
      <w:r>
        <w:rPr>
          <w:rFonts w:cs="Times-Roman"/>
        </w:rPr>
        <w:t xml:space="preserve"> </w:t>
      </w:r>
      <w:r w:rsidRPr="00882FED">
        <w:rPr>
          <w:rFonts w:cs="Times-Roman"/>
        </w:rPr>
        <w:t>underlying aquifer</w:t>
      </w:r>
      <w:r>
        <w:rPr>
          <w:rFonts w:cs="Times-Roman"/>
        </w:rPr>
        <w:t xml:space="preserve"> (green ‘brick-style’ shading)</w:t>
      </w:r>
      <w:r w:rsidRPr="00882FED">
        <w:rPr>
          <w:rFonts w:cs="Times-Roman"/>
        </w:rPr>
        <w:t xml:space="preserve"> by lower</w:t>
      </w:r>
      <w:r>
        <w:rPr>
          <w:rFonts w:cs="Times-Roman"/>
        </w:rPr>
        <w:t xml:space="preserve"> </w:t>
      </w:r>
      <w:r w:rsidRPr="00882FED">
        <w:rPr>
          <w:rFonts w:cs="Times-Roman"/>
        </w:rPr>
        <w:t>permeability layer</w:t>
      </w:r>
      <w:r>
        <w:rPr>
          <w:rFonts w:cs="Times-Roman"/>
        </w:rPr>
        <w:t xml:space="preserve"> (yellow)</w:t>
      </w:r>
      <w:r w:rsidRPr="00882FED">
        <w:rPr>
          <w:rFonts w:cs="Times-Roman"/>
        </w:rPr>
        <w:t>. Input from</w:t>
      </w:r>
      <w:r>
        <w:rPr>
          <w:rFonts w:cs="Times-Roman"/>
        </w:rPr>
        <w:t xml:space="preserve"> </w:t>
      </w:r>
      <w:r w:rsidRPr="00882FED">
        <w:rPr>
          <w:rFonts w:cs="Times-Roman"/>
        </w:rPr>
        <w:t xml:space="preserve">over-bank </w:t>
      </w:r>
      <w:r w:rsidR="00E7400D" w:rsidRPr="00882FED">
        <w:rPr>
          <w:rFonts w:cs="Times-Roman"/>
        </w:rPr>
        <w:t>flow</w:t>
      </w:r>
      <w:r w:rsidR="00E7400D">
        <w:rPr>
          <w:rFonts w:cs="Times-Roman"/>
        </w:rPr>
        <w:t xml:space="preserve"> (</w:t>
      </w:r>
      <w:r>
        <w:rPr>
          <w:rFonts w:cs="Times-Roman"/>
        </w:rPr>
        <w:t>OB)</w:t>
      </w:r>
      <w:r w:rsidRPr="00882FED">
        <w:rPr>
          <w:rFonts w:cs="Times-Roman"/>
        </w:rPr>
        <w:t xml:space="preserve"> and groundwater</w:t>
      </w:r>
      <w:r>
        <w:rPr>
          <w:rFonts w:cs="Times-Roman"/>
        </w:rPr>
        <w:t xml:space="preserve"> </w:t>
      </w:r>
      <w:r w:rsidRPr="00882FED">
        <w:rPr>
          <w:rFonts w:cs="Times-Roman"/>
        </w:rPr>
        <w:t>discharge</w:t>
      </w:r>
      <w:r>
        <w:rPr>
          <w:rFonts w:cs="Times-Roman"/>
        </w:rPr>
        <w:t xml:space="preserve"> (GD)</w:t>
      </w:r>
      <w:r w:rsidRPr="00882FED">
        <w:rPr>
          <w:rFonts w:cs="Times-Roman"/>
        </w:rPr>
        <w:t>, supplemented by</w:t>
      </w:r>
      <w:r>
        <w:rPr>
          <w:rFonts w:cs="Times-Roman"/>
        </w:rPr>
        <w:t xml:space="preserve"> </w:t>
      </w:r>
      <w:r w:rsidRPr="00882FED">
        <w:rPr>
          <w:rFonts w:cs="Times-Roman"/>
        </w:rPr>
        <w:t xml:space="preserve">runoff </w:t>
      </w:r>
      <w:r>
        <w:rPr>
          <w:rFonts w:cs="Times-Roman"/>
        </w:rPr>
        <w:t xml:space="preserve">(R) </w:t>
      </w:r>
      <w:r w:rsidRPr="00882FED">
        <w:rPr>
          <w:rFonts w:cs="Times-Roman"/>
        </w:rPr>
        <w:t>and precipitation</w:t>
      </w:r>
      <w:r>
        <w:rPr>
          <w:rFonts w:cs="Times-Roman"/>
        </w:rPr>
        <w:t xml:space="preserve"> (P)</w:t>
      </w:r>
      <w:r w:rsidRPr="00882FED">
        <w:rPr>
          <w:rFonts w:cs="Times-Roman"/>
        </w:rPr>
        <w:t>. Output by surface outflow</w:t>
      </w:r>
      <w:r>
        <w:rPr>
          <w:rFonts w:cs="Times-Roman"/>
        </w:rPr>
        <w:t xml:space="preserve"> (OF)</w:t>
      </w:r>
      <w:r w:rsidRPr="00882FED">
        <w:rPr>
          <w:rFonts w:cs="Times-Roman"/>
        </w:rPr>
        <w:t>,</w:t>
      </w:r>
      <w:r>
        <w:rPr>
          <w:rFonts w:cs="Times-Roman"/>
        </w:rPr>
        <w:t xml:space="preserve"> </w:t>
      </w:r>
      <w:r w:rsidRPr="00882FED">
        <w:rPr>
          <w:rFonts w:cs="Times-Roman"/>
        </w:rPr>
        <w:t>evaporation</w:t>
      </w:r>
      <w:r>
        <w:rPr>
          <w:rFonts w:cs="Times-Roman"/>
        </w:rPr>
        <w:t xml:space="preserve"> (E)</w:t>
      </w:r>
      <w:r w:rsidRPr="00882FED">
        <w:rPr>
          <w:rFonts w:cs="Times-Roman"/>
        </w:rPr>
        <w:t xml:space="preserve"> and groundwater</w:t>
      </w:r>
      <w:r>
        <w:rPr>
          <w:rFonts w:cs="Times-Roman"/>
        </w:rPr>
        <w:t xml:space="preserve"> </w:t>
      </w:r>
      <w:r w:rsidRPr="00882FED">
        <w:rPr>
          <w:rFonts w:cs="Times-Roman"/>
        </w:rPr>
        <w:t>recharge</w:t>
      </w:r>
      <w:r>
        <w:rPr>
          <w:rFonts w:cs="Times-Roman"/>
        </w:rPr>
        <w:t xml:space="preserve"> (GR)</w:t>
      </w:r>
      <w:r w:rsidRPr="00882FED">
        <w:rPr>
          <w:rFonts w:cs="Times-Roman"/>
        </w:rPr>
        <w:t>.</w:t>
      </w:r>
      <w:r>
        <w:rPr>
          <w:rFonts w:cs="Times-Roman"/>
        </w:rPr>
        <w:t xml:space="preserve"> The surface water body (blue) facilitates lateral exchange of water to and from the wetland (indicated by the ↔ symbol) depending on the relative water levels within each. </w:t>
      </w:r>
      <w:r w:rsidR="007755A7">
        <w:rPr>
          <w:rFonts w:cs="Times-Roman"/>
        </w:rPr>
        <w:t xml:space="preserve">(Adapted from Acreman, 2005). </w:t>
      </w:r>
    </w:p>
    <w:p w:rsidR="007F6AFB" w:rsidRPr="00E01EBE" w:rsidRDefault="007F6AFB" w:rsidP="00E01EBE">
      <w:pPr>
        <w:autoSpaceDE w:val="0"/>
        <w:autoSpaceDN w:val="0"/>
        <w:adjustRightInd w:val="0"/>
        <w:spacing w:after="0"/>
        <w:jc w:val="both"/>
        <w:rPr>
          <w:rFonts w:cs="Times-Bold"/>
          <w:b/>
          <w:bCs/>
        </w:rPr>
      </w:pPr>
    </w:p>
    <w:p w:rsidR="00D63514" w:rsidRDefault="002D73C2" w:rsidP="002D73C2">
      <w:pPr>
        <w:jc w:val="both"/>
      </w:pPr>
      <w:r>
        <w:t xml:space="preserve">Episodes of flooding in this region will </w:t>
      </w:r>
      <w:r w:rsidR="00D63514">
        <w:t xml:space="preserve">occur when the total of the </w:t>
      </w:r>
      <w:r>
        <w:t>input</w:t>
      </w:r>
      <w:r w:rsidR="00D63514">
        <w:t>s</w:t>
      </w:r>
      <w:r>
        <w:t xml:space="preserve"> from one</w:t>
      </w:r>
      <w:r w:rsidR="0039713D">
        <w:t xml:space="preserve"> or more </w:t>
      </w:r>
      <w:r>
        <w:t xml:space="preserve">of the </w:t>
      </w:r>
      <w:r w:rsidR="002C0EAE">
        <w:t xml:space="preserve">driving mechanisms (precipitation, </w:t>
      </w:r>
      <w:r>
        <w:t>runoff, groundwater</w:t>
      </w:r>
      <w:r w:rsidR="002C0EAE">
        <w:t xml:space="preserve"> discharge</w:t>
      </w:r>
      <w:r>
        <w:t xml:space="preserve">, </w:t>
      </w:r>
      <w:r w:rsidR="002C0EAE">
        <w:t>over-bank flow</w:t>
      </w:r>
      <w:r w:rsidR="00D63514">
        <w:t xml:space="preserve"> and lateral exchange in)</w:t>
      </w:r>
      <w:r>
        <w:t xml:space="preserve"> exceeds </w:t>
      </w:r>
      <w:r w:rsidR="00D63514">
        <w:t xml:space="preserve">the total of the outputs (evaporation, groundwater recharge, surface outflow and lateral exchange out) in excess of the storage capacity of the system. </w:t>
      </w:r>
      <w:r w:rsidR="00BE5366">
        <w:t>The water balance equation for this system helps to illustrate the relationship between inputs, outputs and storage volume (Equation 1)</w:t>
      </w:r>
      <w:r w:rsidR="00D63514">
        <w:t>:</w:t>
      </w:r>
    </w:p>
    <w:p w:rsidR="00D63514" w:rsidRDefault="00BE5366" w:rsidP="002D73C2">
      <w:pPr>
        <w:jc w:val="both"/>
      </w:pPr>
      <m:oMathPara>
        <m:oMath>
          <m:r>
            <w:rPr>
              <w:rFonts w:ascii="Cambria Math" w:hAnsi="Cambria Math"/>
            </w:rPr>
            <m:t xml:space="preserve">Equation 1:        P+R+GD+OB+ </m:t>
          </m:r>
          <m:sSub>
            <m:sSubPr>
              <m:ctrlPr>
                <w:rPr>
                  <w:rFonts w:ascii="Cambria Math" w:hAnsi="Cambria Math"/>
                  <w:i/>
                </w:rPr>
              </m:ctrlPr>
            </m:sSubPr>
            <m:e>
              <m:r>
                <w:rPr>
                  <w:rFonts w:ascii="Cambria Math" w:hAnsi="Cambria Math"/>
                </w:rPr>
                <m:t>Lat</m:t>
              </m:r>
            </m:e>
            <m:sub>
              <m:r>
                <w:rPr>
                  <w:rFonts w:ascii="Cambria Math" w:hAnsi="Cambria Math"/>
                </w:rPr>
                <m:t>in</m:t>
              </m:r>
            </m:sub>
          </m:sSub>
          <m:r>
            <w:rPr>
              <w:rFonts w:ascii="Cambria Math" w:hAnsi="Cambria Math"/>
            </w:rPr>
            <m:t xml:space="preserve">=E+GR+OF+ </m:t>
          </m:r>
          <m:sSub>
            <m:sSubPr>
              <m:ctrlPr>
                <w:rPr>
                  <w:rFonts w:ascii="Cambria Math" w:hAnsi="Cambria Math"/>
                  <w:i/>
                </w:rPr>
              </m:ctrlPr>
            </m:sSubPr>
            <m:e>
              <m:r>
                <w:rPr>
                  <w:rFonts w:ascii="Cambria Math" w:hAnsi="Cambria Math"/>
                </w:rPr>
                <m:t>Lat</m:t>
              </m:r>
            </m:e>
            <m:sub>
              <m:r>
                <w:rPr>
                  <w:rFonts w:ascii="Cambria Math" w:hAnsi="Cambria Math"/>
                </w:rPr>
                <m:t>out</m:t>
              </m:r>
            </m:sub>
          </m:sSub>
          <m:r>
            <w:rPr>
              <w:rFonts w:ascii="Cambria Math" w:hAnsi="Cambria Math"/>
            </w:rPr>
            <m:t>+ ∆Storage</m:t>
          </m:r>
        </m:oMath>
      </m:oMathPara>
    </w:p>
    <w:p w:rsidR="007F6AFB" w:rsidRPr="007F6AFB" w:rsidRDefault="00856D43" w:rsidP="00B4335D">
      <w:pPr>
        <w:jc w:val="both"/>
      </w:pPr>
      <w:r>
        <w:t>Indicative values, where available, for each of the processes identified in the conceptua</w:t>
      </w:r>
      <w:r w:rsidR="009F5D32">
        <w:t>lisation is presented in Table 3</w:t>
      </w:r>
      <w:r>
        <w:t>. Once the change in storage (∆</w:t>
      </w:r>
      <w:r>
        <w:rPr>
          <w:i/>
        </w:rPr>
        <w:t>Storage</w:t>
      </w:r>
      <w:r>
        <w:t xml:space="preserve">) exceeds the available storage capacity, then the excess water will contribute towards flooding. The available storage capacity is made up of water bodies (including rivers, drains, ditches, ponds, lakes etc), the soil body (whose capacity to store water is dealt with in detail in subsequent sections, and groundwater aquifers. </w:t>
      </w:r>
      <w:r w:rsidR="0039713D">
        <w:t xml:space="preserve">The major aquifer in the region is the Carboniferous Limestone, however for much of the area this is confined </w:t>
      </w:r>
      <w:r w:rsidR="0039713D">
        <w:lastRenderedPageBreak/>
        <w:t>under largely impermeable marine clays</w:t>
      </w:r>
      <w:r>
        <w:t xml:space="preserve">. It is therefore </w:t>
      </w:r>
      <w:r w:rsidR="00BE5366">
        <w:t xml:space="preserve">assumed that there is </w:t>
      </w:r>
      <w:r>
        <w:t xml:space="preserve">only minimal interaction </w:t>
      </w:r>
      <w:r w:rsidR="00BE5366">
        <w:t xml:space="preserve">between the </w:t>
      </w:r>
      <w:r>
        <w:t xml:space="preserve">surface </w:t>
      </w:r>
      <w:r w:rsidR="00BE5366">
        <w:t xml:space="preserve">and groundwater </w:t>
      </w:r>
      <w:r>
        <w:t>system</w:t>
      </w:r>
      <w:r w:rsidR="00BE5366">
        <w:t>s.</w:t>
      </w:r>
    </w:p>
    <w:p w:rsidR="00E01EBE" w:rsidRPr="00E01EBE" w:rsidRDefault="00E01EBE" w:rsidP="00E01EBE">
      <w:pPr>
        <w:pStyle w:val="Caption"/>
        <w:keepNext/>
        <w:rPr>
          <w:b w:val="0"/>
          <w:color w:val="auto"/>
          <w:sz w:val="22"/>
          <w:szCs w:val="22"/>
        </w:rPr>
      </w:pPr>
      <w:r w:rsidRPr="00E01EBE">
        <w:rPr>
          <w:b w:val="0"/>
          <w:color w:val="auto"/>
          <w:sz w:val="22"/>
          <w:szCs w:val="22"/>
        </w:rPr>
        <w:t xml:space="preserve">Table </w:t>
      </w:r>
      <w:r w:rsidR="00251534" w:rsidRPr="00E01EBE">
        <w:rPr>
          <w:b w:val="0"/>
          <w:color w:val="auto"/>
          <w:sz w:val="22"/>
          <w:szCs w:val="22"/>
        </w:rPr>
        <w:fldChar w:fldCharType="begin"/>
      </w:r>
      <w:r w:rsidRPr="00E01EBE">
        <w:rPr>
          <w:b w:val="0"/>
          <w:color w:val="auto"/>
          <w:sz w:val="22"/>
          <w:szCs w:val="22"/>
        </w:rPr>
        <w:instrText xml:space="preserve"> SEQ Table \* ARABIC </w:instrText>
      </w:r>
      <w:r w:rsidR="00251534" w:rsidRPr="00E01EBE">
        <w:rPr>
          <w:b w:val="0"/>
          <w:color w:val="auto"/>
          <w:sz w:val="22"/>
          <w:szCs w:val="22"/>
        </w:rPr>
        <w:fldChar w:fldCharType="separate"/>
      </w:r>
      <w:r w:rsidR="000E193B">
        <w:rPr>
          <w:b w:val="0"/>
          <w:noProof/>
          <w:color w:val="auto"/>
          <w:sz w:val="22"/>
          <w:szCs w:val="22"/>
        </w:rPr>
        <w:t>3</w:t>
      </w:r>
      <w:r w:rsidR="00251534" w:rsidRPr="00E01EBE">
        <w:rPr>
          <w:b w:val="0"/>
          <w:color w:val="auto"/>
          <w:sz w:val="22"/>
          <w:szCs w:val="22"/>
        </w:rPr>
        <w:fldChar w:fldCharType="end"/>
      </w:r>
      <w:r w:rsidR="00F54328">
        <w:rPr>
          <w:b w:val="0"/>
          <w:color w:val="auto"/>
          <w:sz w:val="22"/>
          <w:szCs w:val="22"/>
        </w:rPr>
        <w:t>.</w:t>
      </w:r>
      <w:r w:rsidRPr="00E01EBE">
        <w:rPr>
          <w:b w:val="0"/>
          <w:color w:val="auto"/>
          <w:sz w:val="22"/>
          <w:szCs w:val="22"/>
        </w:rPr>
        <w:t xml:space="preserve"> Indicative hydrological information for the processes identified in the hydrological conceptualisation.</w:t>
      </w:r>
    </w:p>
    <w:tbl>
      <w:tblPr>
        <w:tblStyle w:val="TableGrid"/>
        <w:tblW w:w="5000" w:type="pct"/>
        <w:tblLook w:val="04A0" w:firstRow="1" w:lastRow="0" w:firstColumn="1" w:lastColumn="0" w:noHBand="0" w:noVBand="1"/>
      </w:tblPr>
      <w:tblGrid>
        <w:gridCol w:w="2236"/>
        <w:gridCol w:w="3827"/>
        <w:gridCol w:w="3179"/>
      </w:tblGrid>
      <w:tr w:rsidR="00460D38" w:rsidRPr="002C0EAE" w:rsidTr="00F849CE">
        <w:tc>
          <w:tcPr>
            <w:tcW w:w="1209" w:type="pct"/>
          </w:tcPr>
          <w:p w:rsidR="00460D38" w:rsidRPr="002C0EAE" w:rsidRDefault="00460D38" w:rsidP="002D73C2">
            <w:pPr>
              <w:jc w:val="both"/>
              <w:rPr>
                <w:b/>
              </w:rPr>
            </w:pPr>
            <w:r>
              <w:rPr>
                <w:b/>
              </w:rPr>
              <w:t>Hydrological process</w:t>
            </w:r>
          </w:p>
        </w:tc>
        <w:tc>
          <w:tcPr>
            <w:tcW w:w="2070" w:type="pct"/>
          </w:tcPr>
          <w:p w:rsidR="00460D38" w:rsidRPr="002C0EAE" w:rsidRDefault="00460D38" w:rsidP="002D73C2">
            <w:pPr>
              <w:jc w:val="both"/>
              <w:rPr>
                <w:b/>
              </w:rPr>
            </w:pPr>
            <w:r>
              <w:rPr>
                <w:b/>
              </w:rPr>
              <w:t xml:space="preserve">Average value </w:t>
            </w:r>
          </w:p>
        </w:tc>
        <w:tc>
          <w:tcPr>
            <w:tcW w:w="1720" w:type="pct"/>
          </w:tcPr>
          <w:p w:rsidR="00460D38" w:rsidRPr="002C0EAE" w:rsidRDefault="00460D38" w:rsidP="002D73C2">
            <w:pPr>
              <w:jc w:val="both"/>
              <w:rPr>
                <w:b/>
              </w:rPr>
            </w:pPr>
            <w:r>
              <w:rPr>
                <w:b/>
              </w:rPr>
              <w:t>Comment</w:t>
            </w:r>
          </w:p>
        </w:tc>
      </w:tr>
      <w:tr w:rsidR="00460D38" w:rsidTr="00F849CE">
        <w:tc>
          <w:tcPr>
            <w:tcW w:w="1209" w:type="pct"/>
          </w:tcPr>
          <w:p w:rsidR="00460D38" w:rsidRDefault="00460D38" w:rsidP="002D73C2">
            <w:pPr>
              <w:jc w:val="both"/>
            </w:pPr>
            <w:r>
              <w:t>Precipitation (P)</w:t>
            </w:r>
          </w:p>
        </w:tc>
        <w:tc>
          <w:tcPr>
            <w:tcW w:w="2070" w:type="pct"/>
          </w:tcPr>
          <w:p w:rsidR="00460D38" w:rsidRDefault="00460D38" w:rsidP="002D73C2">
            <w:pPr>
              <w:jc w:val="both"/>
            </w:pPr>
            <w:r>
              <w:t>820 mm/yr</w:t>
            </w:r>
          </w:p>
          <w:p w:rsidR="003F1F3D" w:rsidRPr="003F1F3D" w:rsidRDefault="003F1F3D" w:rsidP="002D73C2">
            <w:pPr>
              <w:jc w:val="both"/>
              <w:rPr>
                <w:i/>
              </w:rPr>
            </w:pPr>
            <w:r w:rsidRPr="003F1F3D">
              <w:rPr>
                <w:i/>
              </w:rPr>
              <w:t xml:space="preserve">For reference, </w:t>
            </w:r>
            <w:r>
              <w:rPr>
                <w:i/>
              </w:rPr>
              <w:t>approximately 412 mm of rain fell on the study area in the period from 1</w:t>
            </w:r>
            <w:r w:rsidRPr="003F1F3D">
              <w:rPr>
                <w:i/>
                <w:vertAlign w:val="superscript"/>
              </w:rPr>
              <w:t>st</w:t>
            </w:r>
            <w:r>
              <w:rPr>
                <w:i/>
              </w:rPr>
              <w:t xml:space="preserve"> December 2013 to 28</w:t>
            </w:r>
            <w:r w:rsidRPr="003F1F3D">
              <w:rPr>
                <w:i/>
                <w:vertAlign w:val="superscript"/>
              </w:rPr>
              <w:t>th</w:t>
            </w:r>
            <w:r>
              <w:rPr>
                <w:i/>
              </w:rPr>
              <w:t xml:space="preserve"> February 2014. </w:t>
            </w:r>
          </w:p>
        </w:tc>
        <w:tc>
          <w:tcPr>
            <w:tcW w:w="1720" w:type="pct"/>
          </w:tcPr>
          <w:p w:rsidR="00460D38" w:rsidRDefault="00460D38" w:rsidP="002D73C2">
            <w:pPr>
              <w:jc w:val="both"/>
            </w:pPr>
            <w:r>
              <w:t xml:space="preserve">Catchment average rainfall. This doesn’t show a strong seasonal trend. </w:t>
            </w:r>
          </w:p>
        </w:tc>
      </w:tr>
      <w:tr w:rsidR="00460D38" w:rsidTr="00F849CE">
        <w:tc>
          <w:tcPr>
            <w:tcW w:w="1209" w:type="pct"/>
          </w:tcPr>
          <w:p w:rsidR="00460D38" w:rsidRDefault="00460D38" w:rsidP="002D73C2">
            <w:pPr>
              <w:jc w:val="both"/>
            </w:pPr>
            <w:r>
              <w:t>Evaporation (E)</w:t>
            </w:r>
          </w:p>
        </w:tc>
        <w:tc>
          <w:tcPr>
            <w:tcW w:w="2070" w:type="pct"/>
          </w:tcPr>
          <w:p w:rsidR="00460D38" w:rsidRDefault="00460D38" w:rsidP="002D73C2">
            <w:pPr>
              <w:jc w:val="both"/>
            </w:pPr>
            <w:r>
              <w:t>604 mm/yr</w:t>
            </w:r>
          </w:p>
          <w:p w:rsidR="003F1F3D" w:rsidRPr="003F1F3D" w:rsidRDefault="003F1F3D" w:rsidP="002D73C2">
            <w:pPr>
              <w:jc w:val="both"/>
              <w:rPr>
                <w:i/>
              </w:rPr>
            </w:pPr>
            <w:r w:rsidRPr="003F1F3D">
              <w:rPr>
                <w:i/>
              </w:rPr>
              <w:t xml:space="preserve">Summer monthly totals </w:t>
            </w:r>
            <w:r>
              <w:rPr>
                <w:i/>
              </w:rPr>
              <w:t xml:space="preserve">are typically </w:t>
            </w:r>
            <w:r w:rsidRPr="003F1F3D">
              <w:rPr>
                <w:i/>
              </w:rPr>
              <w:t xml:space="preserve">in the order of 80 to 90 mm. </w:t>
            </w:r>
          </w:p>
          <w:p w:rsidR="003F1F3D" w:rsidRDefault="003F1F3D" w:rsidP="002D73C2">
            <w:pPr>
              <w:jc w:val="both"/>
            </w:pPr>
            <w:r w:rsidRPr="003F1F3D">
              <w:rPr>
                <w:i/>
              </w:rPr>
              <w:t xml:space="preserve">Winter monthly totals </w:t>
            </w:r>
            <w:r>
              <w:rPr>
                <w:i/>
              </w:rPr>
              <w:t xml:space="preserve">are typically </w:t>
            </w:r>
            <w:r w:rsidRPr="003F1F3D">
              <w:rPr>
                <w:i/>
              </w:rPr>
              <w:t>in the order of 15 to 20 mm.</w:t>
            </w:r>
            <w:r>
              <w:t xml:space="preserve"> </w:t>
            </w:r>
          </w:p>
        </w:tc>
        <w:tc>
          <w:tcPr>
            <w:tcW w:w="1720" w:type="pct"/>
          </w:tcPr>
          <w:p w:rsidR="00460D38" w:rsidRDefault="00460D38" w:rsidP="002D73C2">
            <w:pPr>
              <w:jc w:val="both"/>
            </w:pPr>
            <w:r>
              <w:t xml:space="preserve">MORECS long term average potential evaporation. This shows a strong seasonal trend with higher values in summer. </w:t>
            </w:r>
          </w:p>
        </w:tc>
      </w:tr>
      <w:tr w:rsidR="00460D38" w:rsidTr="00F849CE">
        <w:tc>
          <w:tcPr>
            <w:tcW w:w="1209" w:type="pct"/>
          </w:tcPr>
          <w:p w:rsidR="00460D38" w:rsidRDefault="00DC2CF1" w:rsidP="002D73C2">
            <w:pPr>
              <w:jc w:val="both"/>
            </w:pPr>
            <w:r>
              <w:t>Runoff (R</w:t>
            </w:r>
            <w:r w:rsidR="00460D38">
              <w:t>)</w:t>
            </w:r>
          </w:p>
        </w:tc>
        <w:tc>
          <w:tcPr>
            <w:tcW w:w="2070" w:type="pct"/>
          </w:tcPr>
          <w:p w:rsidR="00460D38" w:rsidRDefault="00AF06CE" w:rsidP="002D73C2">
            <w:pPr>
              <w:jc w:val="both"/>
            </w:pPr>
            <w:r>
              <w:t>Long term (1964 to 2013) average flow data for:</w:t>
            </w:r>
          </w:p>
          <w:p w:rsidR="00AF06CE" w:rsidRPr="00AF06CE" w:rsidRDefault="00AF06CE" w:rsidP="002D73C2">
            <w:pPr>
              <w:jc w:val="both"/>
              <w:rPr>
                <w:i/>
              </w:rPr>
            </w:pPr>
            <w:r w:rsidRPr="00AF06CE">
              <w:rPr>
                <w:i/>
              </w:rPr>
              <w:t>R. Sheppey @ Fenny Castle</w:t>
            </w:r>
          </w:p>
          <w:p w:rsidR="00AF06CE" w:rsidRDefault="00AF06CE" w:rsidP="002D73C2">
            <w:pPr>
              <w:jc w:val="both"/>
            </w:pPr>
            <w:r>
              <w:t>Mean flow = 1.084 m</w:t>
            </w:r>
            <w:r>
              <w:rPr>
                <w:vertAlign w:val="superscript"/>
              </w:rPr>
              <w:t>3</w:t>
            </w:r>
            <w:r>
              <w:t>/s</w:t>
            </w:r>
          </w:p>
          <w:p w:rsidR="00AF06CE" w:rsidRDefault="00AF06CE" w:rsidP="002D73C2">
            <w:pPr>
              <w:jc w:val="both"/>
            </w:pPr>
            <w:r>
              <w:t>Q</w:t>
            </w:r>
            <w:r>
              <w:rPr>
                <w:vertAlign w:val="subscript"/>
              </w:rPr>
              <w:t>10</w:t>
            </w:r>
            <w:r>
              <w:t xml:space="preserve"> = 2.231 m</w:t>
            </w:r>
            <w:r>
              <w:rPr>
                <w:vertAlign w:val="superscript"/>
              </w:rPr>
              <w:t>3</w:t>
            </w:r>
            <w:r>
              <w:t>/s</w:t>
            </w:r>
          </w:p>
          <w:p w:rsidR="00AF06CE" w:rsidRPr="00AF06CE" w:rsidRDefault="00AF06CE" w:rsidP="002D73C2">
            <w:pPr>
              <w:jc w:val="both"/>
            </w:pPr>
          </w:p>
          <w:p w:rsidR="00AF06CE" w:rsidRDefault="00AF06CE" w:rsidP="002D73C2">
            <w:pPr>
              <w:jc w:val="both"/>
            </w:pPr>
            <w:r>
              <w:rPr>
                <w:i/>
              </w:rPr>
              <w:t>R. Brue @ Lovington</w:t>
            </w:r>
          </w:p>
          <w:p w:rsidR="00AF06CE" w:rsidRDefault="00AF06CE" w:rsidP="002D73C2">
            <w:pPr>
              <w:jc w:val="both"/>
            </w:pPr>
            <w:r>
              <w:t>Mean flow = 1.933 m</w:t>
            </w:r>
            <w:r>
              <w:rPr>
                <w:vertAlign w:val="superscript"/>
              </w:rPr>
              <w:t>3</w:t>
            </w:r>
            <w:r>
              <w:t>/s</w:t>
            </w:r>
          </w:p>
          <w:p w:rsidR="00AF06CE" w:rsidRPr="00AF06CE" w:rsidRDefault="00AF06CE" w:rsidP="002D73C2">
            <w:pPr>
              <w:jc w:val="both"/>
            </w:pPr>
            <w:r>
              <w:t>Q</w:t>
            </w:r>
            <w:r>
              <w:rPr>
                <w:vertAlign w:val="subscript"/>
              </w:rPr>
              <w:t>10</w:t>
            </w:r>
            <w:r>
              <w:t xml:space="preserve"> = 4.917 m</w:t>
            </w:r>
            <w:r>
              <w:rPr>
                <w:vertAlign w:val="superscript"/>
              </w:rPr>
              <w:t>3</w:t>
            </w:r>
            <w:r>
              <w:t>/s</w:t>
            </w:r>
          </w:p>
        </w:tc>
        <w:tc>
          <w:tcPr>
            <w:tcW w:w="1720" w:type="pct"/>
          </w:tcPr>
          <w:p w:rsidR="00460D38" w:rsidRDefault="00AF06CE" w:rsidP="00AF06CE">
            <w:pPr>
              <w:jc w:val="both"/>
            </w:pPr>
            <w:r>
              <w:t xml:space="preserve">Accurately quantifying the role of runoff in driving flooding in the study area requires a considerable amount of field data, and will most likely require development of a complex hydraulic model. These activities fall outside the scope of this piece of work. </w:t>
            </w:r>
          </w:p>
        </w:tc>
      </w:tr>
      <w:tr w:rsidR="00460D38" w:rsidTr="00F849CE">
        <w:trPr>
          <w:trHeight w:val="829"/>
        </w:trPr>
        <w:tc>
          <w:tcPr>
            <w:tcW w:w="1209" w:type="pct"/>
          </w:tcPr>
          <w:p w:rsidR="00460D38" w:rsidRDefault="00460D38" w:rsidP="002D73C2">
            <w:pPr>
              <w:jc w:val="both"/>
            </w:pPr>
            <w:r>
              <w:t>Groundwater Discharge (GD)</w:t>
            </w:r>
            <w:r w:rsidR="00F849CE">
              <w:t xml:space="preserve"> and Groundwater Recharge (GR)</w:t>
            </w:r>
          </w:p>
        </w:tc>
        <w:tc>
          <w:tcPr>
            <w:tcW w:w="2070" w:type="pct"/>
          </w:tcPr>
          <w:p w:rsidR="00460D38" w:rsidRDefault="00460D38" w:rsidP="002D73C2">
            <w:pPr>
              <w:jc w:val="both"/>
            </w:pPr>
            <w:r>
              <w:t>Assumed negligible</w:t>
            </w:r>
            <w:r w:rsidR="00F849CE">
              <w:t xml:space="preserve">. </w:t>
            </w:r>
          </w:p>
        </w:tc>
        <w:tc>
          <w:tcPr>
            <w:tcW w:w="1720" w:type="pct"/>
          </w:tcPr>
          <w:p w:rsidR="00460D38" w:rsidRDefault="00460D38" w:rsidP="002D73C2">
            <w:pPr>
              <w:jc w:val="both"/>
            </w:pPr>
            <w:r>
              <w:t>It is assumed that the considerable thickness of marine clay that underlies the peat soils inhibits most if not all exchange between groundwater and surface water.</w:t>
            </w:r>
          </w:p>
        </w:tc>
      </w:tr>
      <w:tr w:rsidR="00460D38" w:rsidTr="00F849CE">
        <w:tc>
          <w:tcPr>
            <w:tcW w:w="1209" w:type="pct"/>
          </w:tcPr>
          <w:p w:rsidR="00460D38" w:rsidRDefault="00460D38" w:rsidP="002D73C2">
            <w:pPr>
              <w:jc w:val="both"/>
            </w:pPr>
            <w:r>
              <w:t>Over-bank flow (OB)</w:t>
            </w:r>
            <w:r w:rsidR="00AF06CE">
              <w:t xml:space="preserve"> and surface outflow (OF)</w:t>
            </w:r>
          </w:p>
        </w:tc>
        <w:tc>
          <w:tcPr>
            <w:tcW w:w="2070" w:type="pct"/>
          </w:tcPr>
          <w:p w:rsidR="00460D38" w:rsidRDefault="00460D38" w:rsidP="002D73C2">
            <w:pPr>
              <w:jc w:val="both"/>
            </w:pPr>
            <w:r>
              <w:t>Will be considerable as soon as the water level in the channel exceeds ground-surface level.</w:t>
            </w:r>
          </w:p>
        </w:tc>
        <w:tc>
          <w:tcPr>
            <w:tcW w:w="1720" w:type="pct"/>
          </w:tcPr>
          <w:p w:rsidR="00460D38" w:rsidRDefault="00460D38" w:rsidP="002D73C2">
            <w:pPr>
              <w:jc w:val="both"/>
            </w:pPr>
            <w:r>
              <w:t>Difficult to measure directly, but can be estimated if the necessary</w:t>
            </w:r>
            <w:r w:rsidR="00E74739">
              <w:t xml:space="preserve"> water</w:t>
            </w:r>
            <w:r>
              <w:t xml:space="preserve"> level data exist. </w:t>
            </w:r>
          </w:p>
        </w:tc>
      </w:tr>
      <w:tr w:rsidR="00460D38" w:rsidTr="00F849CE">
        <w:tc>
          <w:tcPr>
            <w:tcW w:w="1209" w:type="pct"/>
          </w:tcPr>
          <w:p w:rsidR="00460D38" w:rsidRDefault="00460D38" w:rsidP="002D73C2">
            <w:pPr>
              <w:jc w:val="both"/>
            </w:pPr>
            <w:r>
              <w:t>Lateral exchange</w:t>
            </w:r>
          </w:p>
        </w:tc>
        <w:tc>
          <w:tcPr>
            <w:tcW w:w="2070" w:type="pct"/>
          </w:tcPr>
          <w:p w:rsidR="00460D38" w:rsidRDefault="00460D38" w:rsidP="002D73C2">
            <w:pPr>
              <w:jc w:val="both"/>
            </w:pPr>
            <w:r>
              <w:t xml:space="preserve">Depends upon the permeability of the soil body and ditch surface, and the difference in water level between the ditch and soil body (as described by Darcy’s Law). </w:t>
            </w:r>
          </w:p>
        </w:tc>
        <w:tc>
          <w:tcPr>
            <w:tcW w:w="1720" w:type="pct"/>
          </w:tcPr>
          <w:p w:rsidR="00460D38" w:rsidRDefault="00460D38" w:rsidP="002D73C2">
            <w:pPr>
              <w:jc w:val="both"/>
            </w:pPr>
            <w:r>
              <w:t xml:space="preserve">This is one of the main focuses of this report. </w:t>
            </w:r>
          </w:p>
        </w:tc>
      </w:tr>
    </w:tbl>
    <w:p w:rsidR="00BE5366" w:rsidRDefault="00BE5366" w:rsidP="002D73C2">
      <w:pPr>
        <w:jc w:val="both"/>
      </w:pPr>
    </w:p>
    <w:p w:rsidR="00686218" w:rsidRDefault="00686218" w:rsidP="00686218">
      <w:pPr>
        <w:jc w:val="both"/>
      </w:pPr>
      <w:r>
        <w:t>During the period from 1</w:t>
      </w:r>
      <w:r w:rsidRPr="00330CFE">
        <w:rPr>
          <w:vertAlign w:val="superscript"/>
        </w:rPr>
        <w:t>st</w:t>
      </w:r>
      <w:r>
        <w:t xml:space="preserve"> December 2013 to 28</w:t>
      </w:r>
      <w:r w:rsidRPr="00330CFE">
        <w:rPr>
          <w:vertAlign w:val="superscript"/>
        </w:rPr>
        <w:t>th</w:t>
      </w:r>
      <w:r>
        <w:t xml:space="preserve"> February 2014 inclusive, which will henceforth be referred to as winter 13/14, a considerable amount of rain fell in the study area. Analysis of the CEH GEAR </w:t>
      </w:r>
      <w:r w:rsidRPr="00686218">
        <w:t xml:space="preserve">(Gridded Estimates of Aerial Rainfall) dataset, suggests that the </w:t>
      </w:r>
      <w:r>
        <w:t>average rainfall</w:t>
      </w:r>
      <w:r w:rsidRPr="00686218">
        <w:t xml:space="preserve"> over</w:t>
      </w:r>
      <w:r>
        <w:t xml:space="preserve"> all WLMP units, was 412 mm during winter 13/14 which is equivalent to approximately 50% of the long term average for the area. Rainfall was not evenly distributed across the study area. Curry Moor received the highest rainfall (499 mm) and Brue Valley South received the lowest rainfall (382 mm) (Figure 4). </w:t>
      </w:r>
    </w:p>
    <w:p w:rsidR="00686218" w:rsidRDefault="00686218" w:rsidP="00F54328">
      <w:pPr>
        <w:keepNext/>
        <w:jc w:val="center"/>
      </w:pPr>
      <w:r w:rsidRPr="007B2E59">
        <w:rPr>
          <w:noProof/>
        </w:rPr>
        <w:lastRenderedPageBreak/>
        <w:drawing>
          <wp:inline distT="0" distB="0" distL="0" distR="0">
            <wp:extent cx="5121757" cy="3350029"/>
            <wp:effectExtent l="0" t="0" r="3175" b="317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121504" cy="3349864"/>
                    </a:xfrm>
                    <a:prstGeom prst="rect">
                      <a:avLst/>
                    </a:prstGeom>
                    <a:noFill/>
                    <a:ln w="9525">
                      <a:noFill/>
                      <a:miter lim="800000"/>
                      <a:headEnd/>
                      <a:tailEnd/>
                    </a:ln>
                  </pic:spPr>
                </pic:pic>
              </a:graphicData>
            </a:graphic>
          </wp:inline>
        </w:drawing>
      </w:r>
    </w:p>
    <w:p w:rsidR="00686218" w:rsidRPr="00686218" w:rsidRDefault="00686218" w:rsidP="00686218">
      <w:pPr>
        <w:pStyle w:val="Caption"/>
        <w:jc w:val="both"/>
        <w:rPr>
          <w:b w:val="0"/>
          <w:color w:val="auto"/>
          <w:sz w:val="22"/>
          <w:szCs w:val="22"/>
        </w:rPr>
      </w:pPr>
      <w:r w:rsidRPr="00686218">
        <w:rPr>
          <w:b w:val="0"/>
          <w:color w:val="auto"/>
          <w:sz w:val="22"/>
          <w:szCs w:val="22"/>
        </w:rPr>
        <w:t xml:space="preserve">Figure </w:t>
      </w:r>
      <w:r w:rsidR="00251534" w:rsidRPr="00686218">
        <w:rPr>
          <w:b w:val="0"/>
          <w:color w:val="auto"/>
          <w:sz w:val="22"/>
          <w:szCs w:val="22"/>
        </w:rPr>
        <w:fldChar w:fldCharType="begin"/>
      </w:r>
      <w:r w:rsidRPr="00686218">
        <w:rPr>
          <w:b w:val="0"/>
          <w:color w:val="auto"/>
          <w:sz w:val="22"/>
          <w:szCs w:val="22"/>
        </w:rPr>
        <w:instrText xml:space="preserve"> SEQ Figure \* ARABIC </w:instrText>
      </w:r>
      <w:r w:rsidR="00251534" w:rsidRPr="00686218">
        <w:rPr>
          <w:b w:val="0"/>
          <w:color w:val="auto"/>
          <w:sz w:val="22"/>
          <w:szCs w:val="22"/>
        </w:rPr>
        <w:fldChar w:fldCharType="separate"/>
      </w:r>
      <w:r w:rsidR="000E193B">
        <w:rPr>
          <w:b w:val="0"/>
          <w:noProof/>
          <w:color w:val="auto"/>
          <w:sz w:val="22"/>
          <w:szCs w:val="22"/>
        </w:rPr>
        <w:t>4</w:t>
      </w:r>
      <w:r w:rsidR="00251534" w:rsidRPr="00686218">
        <w:rPr>
          <w:b w:val="0"/>
          <w:color w:val="auto"/>
          <w:sz w:val="22"/>
          <w:szCs w:val="22"/>
        </w:rPr>
        <w:fldChar w:fldCharType="end"/>
      </w:r>
      <w:r w:rsidR="00F54328">
        <w:rPr>
          <w:b w:val="0"/>
          <w:color w:val="auto"/>
          <w:sz w:val="22"/>
          <w:szCs w:val="22"/>
        </w:rPr>
        <w:t>.</w:t>
      </w:r>
      <w:r w:rsidRPr="00686218">
        <w:rPr>
          <w:b w:val="0"/>
          <w:color w:val="auto"/>
          <w:sz w:val="22"/>
          <w:szCs w:val="22"/>
        </w:rPr>
        <w:t xml:space="preserve"> Winter 2013/2014 rainfall totals for each WLMP in the study area. Winter rainfall is the total of rain falling in December 2013, January 2014 and February 2014. These results are based on aerially averaged daily rainfall totals provided by the CEH GEAR (Gridded Estimates of Aerial Rainfall) dataset.</w:t>
      </w:r>
    </w:p>
    <w:p w:rsidR="009921CC" w:rsidRDefault="009921CC" w:rsidP="009921CC">
      <w:pPr>
        <w:jc w:val="both"/>
      </w:pPr>
      <w:r>
        <w:t>Having discounted the groundwater aquifer as a likely significant source of storage, the two components making up storage capacity are: the available volume in the surface water bodies and the availa</w:t>
      </w:r>
      <w:r w:rsidR="0073724F">
        <w:t xml:space="preserve">ble volume in the soil profile. These are introduced here and then dealt with in more detail subsequently. </w:t>
      </w:r>
    </w:p>
    <w:p w:rsidR="0073724F" w:rsidRDefault="0073724F" w:rsidP="009921CC">
      <w:pPr>
        <w:jc w:val="both"/>
      </w:pPr>
      <w:r>
        <w:rPr>
          <w:i/>
        </w:rPr>
        <w:t>Storage component 1: the available volume in the surface water bodies.</w:t>
      </w:r>
    </w:p>
    <w:p w:rsidR="0073724F" w:rsidRDefault="0073724F" w:rsidP="009921CC">
      <w:pPr>
        <w:jc w:val="both"/>
      </w:pPr>
      <w:r>
        <w:t>This will be quantified by measuring the length of surface water features, multiplying this by a standard width, and then multiplying this by the vertical distance from the open water surface to the adjacent land surface (i.e. when the water feature would be considered ‘full’).</w:t>
      </w:r>
    </w:p>
    <w:p w:rsidR="0073724F" w:rsidRDefault="0073724F" w:rsidP="009921CC">
      <w:pPr>
        <w:jc w:val="both"/>
      </w:pPr>
      <w:r>
        <w:rPr>
          <w:i/>
        </w:rPr>
        <w:t>Storage component 2: the available volume in the soil profile.</w:t>
      </w:r>
    </w:p>
    <w:p w:rsidR="007B2E59" w:rsidRDefault="0073724F" w:rsidP="009921CC">
      <w:pPr>
        <w:jc w:val="both"/>
      </w:pPr>
      <w:r>
        <w:t xml:space="preserve">This will be determined by estimating the likely depth of unsaturated soil (i.e. from the soil surface to the water table) and multiplying this by a factor describing the active pore space (see next section), and then multiplying this by the likely width of soil that would receive water. </w:t>
      </w:r>
    </w:p>
    <w:p w:rsidR="007B2E59" w:rsidRPr="0073724F" w:rsidRDefault="00C27856" w:rsidP="009921CC">
      <w:pPr>
        <w:jc w:val="both"/>
      </w:pPr>
      <w:r>
        <w:t>The storage and movement of water in peat soils has been, and still is</w:t>
      </w:r>
      <w:r w:rsidR="00BB088B">
        <w:t>,</w:t>
      </w:r>
      <w:r>
        <w:t xml:space="preserve"> the subject of much research. </w:t>
      </w:r>
      <w:r w:rsidR="006B1EB9">
        <w:t xml:space="preserve">Russian scientists began to adopt </w:t>
      </w:r>
      <w:r w:rsidR="006B1EB9" w:rsidRPr="00483718">
        <w:t>a two layered system</w:t>
      </w:r>
      <w:r>
        <w:t>, differentiating between above and below the water table,</w:t>
      </w:r>
      <w:r w:rsidR="006B1EB9" w:rsidRPr="00483718">
        <w:t xml:space="preserve"> </w:t>
      </w:r>
      <w:r w:rsidR="006B1EB9">
        <w:t xml:space="preserve">in the mid-Twentieth century in order </w:t>
      </w:r>
      <w:r w:rsidR="006B1EB9" w:rsidRPr="00483718">
        <w:t>to un</w:t>
      </w:r>
      <w:r w:rsidR="006B1EB9">
        <w:t xml:space="preserve">derstand how peatlands function </w:t>
      </w:r>
      <w:r w:rsidR="006B1EB9">
        <w:rPr>
          <w:rFonts w:cs="AdvP43534B"/>
        </w:rPr>
        <w:t>(Holden, 2005)</w:t>
      </w:r>
      <w:r w:rsidR="006B1EB9">
        <w:t xml:space="preserve">. </w:t>
      </w:r>
      <w:r w:rsidR="006B1EB9" w:rsidRPr="00483718">
        <w:t>This comprises an upper active ‘acrotelm’ peat layer wit</w:t>
      </w:r>
      <w:r w:rsidR="006B1EB9">
        <w:t>h a high hydraulic conductivity</w:t>
      </w:r>
      <w:r w:rsidR="006B1EB9" w:rsidRPr="00483718">
        <w:t xml:space="preserve"> and fluctuating water table and a more inert lower </w:t>
      </w:r>
      <w:r w:rsidR="006B1EB9" w:rsidRPr="006B1EB9">
        <w:t>‘catotelm’ layer, which corresponds to the permanently saturated main body of peat (e.g. Ivanov 1948). Ingram (1983) noted that the distinction between the acrotelm and catotelm is an important concept and fundamental to any understanding of the hydrology, ecology and pedology of peatlands (Holden, 2005).</w:t>
      </w:r>
    </w:p>
    <w:p w:rsidR="001C0DDE" w:rsidRDefault="00B15156" w:rsidP="00B15156">
      <w:pPr>
        <w:jc w:val="both"/>
      </w:pPr>
      <w:r>
        <w:lastRenderedPageBreak/>
        <w:t xml:space="preserve">A method similar to this was developed by Mould (2008) to compare hydrological storage capacity at Otmoor in Oxfordshire with Tadham Moor in the current study area. The method was as follows: A GIS was created for the catchment and populated with the necessary detail. Two scenarios were proposed. The first considered the area of Tier 3 water level management to accurately reflect the current situation, and the second simulated complete coverage of Tier 3 management across the catchment. The volume of </w:t>
      </w:r>
      <w:r w:rsidR="00BB088B">
        <w:t xml:space="preserve">ditch </w:t>
      </w:r>
      <w:r>
        <w:t xml:space="preserve">storage was presented in relation to typical flood event volumes, calculated </w:t>
      </w:r>
      <w:r w:rsidR="0025315B">
        <w:t xml:space="preserve">using methods following those in the </w:t>
      </w:r>
      <w:r w:rsidR="0025315B">
        <w:rPr>
          <w:i/>
        </w:rPr>
        <w:t>Flood Estimation Handbook</w:t>
      </w:r>
      <w:r w:rsidR="0025315B">
        <w:t xml:space="preserve"> (Robson and Reed, 1999)</w:t>
      </w:r>
      <w:r>
        <w:t xml:space="preserve">. </w:t>
      </w:r>
    </w:p>
    <w:p w:rsidR="00B15156" w:rsidRDefault="00BB088B" w:rsidP="00B15156">
      <w:pPr>
        <w:jc w:val="both"/>
      </w:pPr>
      <w:r>
        <w:t>The Mould</w:t>
      </w:r>
      <w:r w:rsidR="00B53BC3">
        <w:t xml:space="preserve"> study </w:t>
      </w:r>
      <w:r>
        <w:t xml:space="preserve">considered </w:t>
      </w:r>
      <w:r w:rsidR="00B53BC3">
        <w:t>b</w:t>
      </w:r>
      <w:r w:rsidR="00B15156">
        <w:t>oth within ditch storage and soil-body storage</w:t>
      </w:r>
      <w:r w:rsidR="00A12490">
        <w:t xml:space="preserve"> (Figure 5</w:t>
      </w:r>
      <w:r w:rsidR="009F5D32">
        <w:t>)</w:t>
      </w:r>
      <w:r w:rsidR="00B15156">
        <w:t xml:space="preserve">. For ditch storage, it was determined from CEH monitoring data that winter ditch water levels in the non-Tier 3 area were on average 0.57 m below the soil surface whilst within the Tier 3 areas the winter ditch water levels were at the soil surface. 0.57 m was therefore taken as the lost depth of storage in the raised water level areas. Ditch widths were assumed to be a standard 3 m. For soil storage, a specific yield of 0.2 was applied and it was assumed that ditch level only influenced the water level in the 10 m width of soil on either side of the ditch. </w:t>
      </w:r>
    </w:p>
    <w:p w:rsidR="00B15156" w:rsidRDefault="00B15156" w:rsidP="00F54328">
      <w:pPr>
        <w:keepNext/>
        <w:autoSpaceDE w:val="0"/>
        <w:autoSpaceDN w:val="0"/>
        <w:adjustRightInd w:val="0"/>
        <w:spacing w:after="0" w:line="240" w:lineRule="auto"/>
        <w:jc w:val="center"/>
      </w:pPr>
      <w:r>
        <w:rPr>
          <w:rFonts w:ascii="Arial" w:hAnsi="Arial" w:cs="Arial"/>
          <w:noProof/>
        </w:rPr>
        <w:drawing>
          <wp:inline distT="0" distB="0" distL="0" distR="0">
            <wp:extent cx="3285853" cy="1937811"/>
            <wp:effectExtent l="19050" t="0" r="0" b="0"/>
            <wp:docPr id="23" name="Picture 21" descr="Tadham field 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dham field cross section"/>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289118" cy="1939737"/>
                    </a:xfrm>
                    <a:prstGeom prst="rect">
                      <a:avLst/>
                    </a:prstGeom>
                    <a:noFill/>
                    <a:ln w="9525">
                      <a:noFill/>
                      <a:miter lim="800000"/>
                      <a:headEnd/>
                      <a:tailEnd/>
                    </a:ln>
                  </pic:spPr>
                </pic:pic>
              </a:graphicData>
            </a:graphic>
          </wp:inline>
        </w:drawing>
      </w:r>
    </w:p>
    <w:p w:rsidR="00B15156" w:rsidRPr="00B15156" w:rsidRDefault="00B15156" w:rsidP="00B15156">
      <w:pPr>
        <w:pStyle w:val="Caption"/>
        <w:jc w:val="both"/>
        <w:rPr>
          <w:b w:val="0"/>
          <w:i/>
          <w:color w:val="auto"/>
          <w:sz w:val="20"/>
          <w:szCs w:val="20"/>
        </w:rPr>
      </w:pPr>
      <w:r w:rsidRPr="00B15156">
        <w:rPr>
          <w:b w:val="0"/>
          <w:color w:val="auto"/>
          <w:sz w:val="20"/>
          <w:szCs w:val="20"/>
        </w:rPr>
        <w:t xml:space="preserve">Figure </w:t>
      </w:r>
      <w:r w:rsidR="00251534" w:rsidRPr="00B15156">
        <w:rPr>
          <w:b w:val="0"/>
          <w:color w:val="auto"/>
          <w:sz w:val="20"/>
          <w:szCs w:val="20"/>
        </w:rPr>
        <w:fldChar w:fldCharType="begin"/>
      </w:r>
      <w:r w:rsidRPr="00B15156">
        <w:rPr>
          <w:b w:val="0"/>
          <w:color w:val="auto"/>
          <w:sz w:val="20"/>
          <w:szCs w:val="20"/>
        </w:rPr>
        <w:instrText xml:space="preserve"> SEQ Figure \* ARABIC </w:instrText>
      </w:r>
      <w:r w:rsidR="00251534" w:rsidRPr="00B15156">
        <w:rPr>
          <w:b w:val="0"/>
          <w:color w:val="auto"/>
          <w:sz w:val="20"/>
          <w:szCs w:val="20"/>
        </w:rPr>
        <w:fldChar w:fldCharType="separate"/>
      </w:r>
      <w:r w:rsidR="000E193B">
        <w:rPr>
          <w:b w:val="0"/>
          <w:noProof/>
          <w:color w:val="auto"/>
          <w:sz w:val="20"/>
          <w:szCs w:val="20"/>
        </w:rPr>
        <w:t>5</w:t>
      </w:r>
      <w:r w:rsidR="00251534" w:rsidRPr="00B15156">
        <w:rPr>
          <w:b w:val="0"/>
          <w:color w:val="auto"/>
          <w:sz w:val="20"/>
          <w:szCs w:val="20"/>
        </w:rPr>
        <w:fldChar w:fldCharType="end"/>
      </w:r>
      <w:r w:rsidR="00F54328">
        <w:rPr>
          <w:b w:val="0"/>
          <w:color w:val="auto"/>
          <w:sz w:val="20"/>
          <w:szCs w:val="20"/>
        </w:rPr>
        <w:t>.</w:t>
      </w:r>
      <w:r w:rsidRPr="00B15156">
        <w:rPr>
          <w:b w:val="0"/>
          <w:color w:val="auto"/>
          <w:sz w:val="20"/>
          <w:szCs w:val="20"/>
        </w:rPr>
        <w:t xml:space="preserve"> Components of </w:t>
      </w:r>
      <w:r w:rsidR="00BB088B">
        <w:rPr>
          <w:b w:val="0"/>
          <w:color w:val="auto"/>
          <w:sz w:val="20"/>
          <w:szCs w:val="20"/>
        </w:rPr>
        <w:t xml:space="preserve">ditch </w:t>
      </w:r>
      <w:r w:rsidRPr="00B15156">
        <w:rPr>
          <w:b w:val="0"/>
          <w:color w:val="auto"/>
          <w:sz w:val="20"/>
          <w:szCs w:val="20"/>
        </w:rPr>
        <w:t xml:space="preserve">storage calculations; yellow dashed line shows </w:t>
      </w:r>
      <w:r w:rsidRPr="00B15156">
        <w:rPr>
          <w:rFonts w:cs="Arial"/>
          <w:b w:val="0"/>
          <w:color w:val="auto"/>
          <w:sz w:val="20"/>
          <w:szCs w:val="20"/>
        </w:rPr>
        <w:t xml:space="preserve">Tier 3 water levels, red dashed line shows normal conditions. </w:t>
      </w:r>
      <w:r w:rsidRPr="00B15156">
        <w:rPr>
          <w:rFonts w:cs="Arial"/>
          <w:b w:val="0"/>
          <w:i/>
          <w:color w:val="auto"/>
          <w:sz w:val="20"/>
          <w:szCs w:val="20"/>
        </w:rPr>
        <w:t xml:space="preserve">From Mould, 2008. </w:t>
      </w:r>
    </w:p>
    <w:p w:rsidR="00B15156" w:rsidRDefault="00B15156" w:rsidP="00B15156">
      <w:pPr>
        <w:autoSpaceDE w:val="0"/>
        <w:autoSpaceDN w:val="0"/>
        <w:adjustRightInd w:val="0"/>
        <w:spacing w:after="0" w:line="240" w:lineRule="auto"/>
        <w:jc w:val="both"/>
      </w:pPr>
      <w:r>
        <w:t>where</w:t>
      </w:r>
    </w:p>
    <w:p w:rsidR="00B15156" w:rsidRPr="00507AB3" w:rsidRDefault="00B15156" w:rsidP="00B15156">
      <w:pPr>
        <w:pStyle w:val="NoSpacing"/>
        <w:ind w:firstLine="720"/>
      </w:pPr>
      <w:r>
        <w:rPr>
          <w:i/>
          <w:iCs/>
        </w:rPr>
        <w:t>E</w:t>
      </w:r>
      <w:r>
        <w:rPr>
          <w:i/>
          <w:iCs/>
          <w:vertAlign w:val="subscript"/>
        </w:rPr>
        <w:t>d</w:t>
      </w:r>
      <w:r>
        <w:tab/>
        <w:t>=</w:t>
      </w:r>
      <w:r>
        <w:tab/>
        <w:t>distance of lateral protrusion into field of ditch water level (m)</w:t>
      </w:r>
    </w:p>
    <w:p w:rsidR="00B15156" w:rsidRDefault="00B15156" w:rsidP="00B15156">
      <w:pPr>
        <w:pStyle w:val="NoSpacing"/>
        <w:ind w:firstLine="720"/>
      </w:pPr>
      <w:r>
        <w:rPr>
          <w:i/>
          <w:iCs/>
        </w:rPr>
        <w:t>z</w:t>
      </w:r>
      <w:r>
        <w:rPr>
          <w:i/>
          <w:iCs/>
          <w:vertAlign w:val="subscript"/>
        </w:rPr>
        <w:t>d</w:t>
      </w:r>
      <w:r>
        <w:tab/>
        <w:t>=</w:t>
      </w:r>
      <w:r>
        <w:tab/>
        <w:t>change in ditch water level storage of T3 (m)</w:t>
      </w:r>
    </w:p>
    <w:p w:rsidR="00B15156" w:rsidRDefault="00B15156" w:rsidP="00F54328">
      <w:pPr>
        <w:pStyle w:val="NoSpacing"/>
        <w:spacing w:after="200"/>
        <w:ind w:firstLine="720"/>
      </w:pPr>
      <w:r>
        <w:rPr>
          <w:i/>
          <w:iCs/>
        </w:rPr>
        <w:t>z</w:t>
      </w:r>
      <w:r>
        <w:rPr>
          <w:i/>
          <w:iCs/>
          <w:vertAlign w:val="subscript"/>
        </w:rPr>
        <w:t>f</w:t>
      </w:r>
      <w:r>
        <w:tab/>
        <w:t>=</w:t>
      </w:r>
      <w:r>
        <w:tab/>
        <w:t>change in field water level storage of T3 (m)</w:t>
      </w:r>
    </w:p>
    <w:p w:rsidR="00B15156" w:rsidRDefault="00003978" w:rsidP="00003978">
      <w:pPr>
        <w:jc w:val="both"/>
      </w:pPr>
      <w:r>
        <w:t>Total changes in storage were compared with the volume of the median annual maximum flood (</w:t>
      </w:r>
      <w:r>
        <w:rPr>
          <w:i/>
        </w:rPr>
        <w:t>V</w:t>
      </w:r>
      <w:r>
        <w:rPr>
          <w:i/>
          <w:vertAlign w:val="subscript"/>
        </w:rPr>
        <w:t>med</w:t>
      </w:r>
      <w:r>
        <w:t xml:space="preserve">) which was derived using flow records from 1993 to 2000 and the peaks over threshold model of the Flood Estimation Handbook (Robson and Reed, 1999). This method gave a value for </w:t>
      </w:r>
      <w:r>
        <w:rPr>
          <w:i/>
        </w:rPr>
        <w:t>V</w:t>
      </w:r>
      <w:r>
        <w:rPr>
          <w:i/>
          <w:vertAlign w:val="subscript"/>
        </w:rPr>
        <w:t xml:space="preserve">med  </w:t>
      </w:r>
      <w:r>
        <w:t>of 4.3 Mm</w:t>
      </w:r>
      <w:r>
        <w:rPr>
          <w:vertAlign w:val="superscript"/>
        </w:rPr>
        <w:t>3</w:t>
      </w:r>
      <w:r>
        <w:t>.</w:t>
      </w:r>
      <w:r>
        <w:rPr>
          <w:i/>
        </w:rPr>
        <w:t xml:space="preserve"> </w:t>
      </w:r>
      <w:r w:rsidR="00B15156">
        <w:t xml:space="preserve">The results of the calculations </w:t>
      </w:r>
      <w:r w:rsidR="009F5D32">
        <w:t>are shown in Table 4</w:t>
      </w:r>
      <w:r>
        <w:t>. This study concluded that under the current situation, the impact of the raised water level area was equivalent to 1.8% of V</w:t>
      </w:r>
      <w:r>
        <w:rPr>
          <w:i/>
          <w:vertAlign w:val="subscript"/>
        </w:rPr>
        <w:t>med</w:t>
      </w:r>
      <w:r>
        <w:t>.</w:t>
      </w:r>
    </w:p>
    <w:p w:rsidR="00003978" w:rsidRPr="00003978" w:rsidRDefault="00003978" w:rsidP="00003978">
      <w:pPr>
        <w:pStyle w:val="Caption"/>
        <w:keepNext/>
        <w:rPr>
          <w:b w:val="0"/>
          <w:color w:val="auto"/>
          <w:sz w:val="22"/>
          <w:szCs w:val="22"/>
        </w:rPr>
      </w:pPr>
      <w:r w:rsidRPr="00003978">
        <w:rPr>
          <w:b w:val="0"/>
          <w:color w:val="auto"/>
          <w:sz w:val="22"/>
          <w:szCs w:val="22"/>
        </w:rPr>
        <w:t xml:space="preserve">Table </w:t>
      </w:r>
      <w:r w:rsidR="00251534" w:rsidRPr="00003978">
        <w:rPr>
          <w:b w:val="0"/>
          <w:color w:val="auto"/>
          <w:sz w:val="22"/>
          <w:szCs w:val="22"/>
        </w:rPr>
        <w:fldChar w:fldCharType="begin"/>
      </w:r>
      <w:r w:rsidRPr="00003978">
        <w:rPr>
          <w:b w:val="0"/>
          <w:color w:val="auto"/>
          <w:sz w:val="22"/>
          <w:szCs w:val="22"/>
        </w:rPr>
        <w:instrText xml:space="preserve"> SEQ Table \* ARABIC </w:instrText>
      </w:r>
      <w:r w:rsidR="00251534" w:rsidRPr="00003978">
        <w:rPr>
          <w:b w:val="0"/>
          <w:color w:val="auto"/>
          <w:sz w:val="22"/>
          <w:szCs w:val="22"/>
        </w:rPr>
        <w:fldChar w:fldCharType="separate"/>
      </w:r>
      <w:r w:rsidR="000E193B">
        <w:rPr>
          <w:b w:val="0"/>
          <w:noProof/>
          <w:color w:val="auto"/>
          <w:sz w:val="22"/>
          <w:szCs w:val="22"/>
        </w:rPr>
        <w:t>4</w:t>
      </w:r>
      <w:r w:rsidR="00251534" w:rsidRPr="00003978">
        <w:rPr>
          <w:b w:val="0"/>
          <w:color w:val="auto"/>
          <w:sz w:val="22"/>
          <w:szCs w:val="22"/>
        </w:rPr>
        <w:fldChar w:fldCharType="end"/>
      </w:r>
      <w:r w:rsidR="00F54328">
        <w:rPr>
          <w:b w:val="0"/>
          <w:color w:val="auto"/>
          <w:sz w:val="22"/>
          <w:szCs w:val="22"/>
        </w:rPr>
        <w:t>.</w:t>
      </w:r>
      <w:r w:rsidRPr="00003978">
        <w:rPr>
          <w:b w:val="0"/>
          <w:color w:val="auto"/>
          <w:sz w:val="22"/>
          <w:szCs w:val="22"/>
        </w:rPr>
        <w:t xml:space="preserve"> Calculated water volumes in the North Drain catchment. From Acreman </w:t>
      </w:r>
      <w:r w:rsidRPr="00003978">
        <w:rPr>
          <w:b w:val="0"/>
          <w:i/>
          <w:color w:val="auto"/>
          <w:sz w:val="22"/>
          <w:szCs w:val="22"/>
        </w:rPr>
        <w:t>et al</w:t>
      </w:r>
      <w:r w:rsidR="00DA5F29">
        <w:rPr>
          <w:b w:val="0"/>
          <w:color w:val="auto"/>
          <w:sz w:val="22"/>
          <w:szCs w:val="22"/>
        </w:rPr>
        <w:t>., 2006.</w:t>
      </w:r>
    </w:p>
    <w:tbl>
      <w:tblPr>
        <w:tblpPr w:leftFromText="180" w:rightFromText="180" w:vertAnchor="text" w:tblpX="15"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665"/>
        <w:gridCol w:w="1368"/>
        <w:gridCol w:w="1107"/>
        <w:gridCol w:w="1081"/>
        <w:gridCol w:w="1701"/>
        <w:gridCol w:w="1392"/>
        <w:gridCol w:w="928"/>
      </w:tblGrid>
      <w:tr w:rsidR="00B15156" w:rsidRPr="000E5730" w:rsidTr="00003978">
        <w:trPr>
          <w:trHeight w:val="993"/>
        </w:trPr>
        <w:tc>
          <w:tcPr>
            <w:tcW w:w="901" w:type="pct"/>
          </w:tcPr>
          <w:p w:rsidR="00B15156" w:rsidRPr="000E5730" w:rsidRDefault="00B15156" w:rsidP="00B15156">
            <w:pPr>
              <w:pStyle w:val="NoSpacing"/>
            </w:pPr>
            <w:r w:rsidRPr="000E5730">
              <w:t>Scenario</w:t>
            </w:r>
          </w:p>
        </w:tc>
        <w:tc>
          <w:tcPr>
            <w:tcW w:w="740" w:type="pct"/>
          </w:tcPr>
          <w:p w:rsidR="00B15156" w:rsidRPr="00B15156" w:rsidRDefault="00B15156" w:rsidP="00B15156">
            <w:pPr>
              <w:pStyle w:val="NoSpacing"/>
            </w:pPr>
            <w:r w:rsidRPr="000E5730">
              <w:t xml:space="preserve">Soil storage </w:t>
            </w:r>
            <w:r>
              <w:t>(</w:t>
            </w:r>
            <w:r w:rsidRPr="000E5730">
              <w:t>m</w:t>
            </w:r>
            <w:r w:rsidRPr="000E5730">
              <w:rPr>
                <w:vertAlign w:val="superscript"/>
              </w:rPr>
              <w:t>3</w:t>
            </w:r>
            <w:r>
              <w:t>)</w:t>
            </w:r>
          </w:p>
        </w:tc>
        <w:tc>
          <w:tcPr>
            <w:tcW w:w="599" w:type="pct"/>
          </w:tcPr>
          <w:p w:rsidR="00B15156" w:rsidRPr="00B15156" w:rsidRDefault="00B15156" w:rsidP="00B15156">
            <w:pPr>
              <w:pStyle w:val="NoSpacing"/>
            </w:pPr>
            <w:r w:rsidRPr="000E5730">
              <w:t xml:space="preserve">Ditch storage </w:t>
            </w:r>
            <w:r>
              <w:t>(</w:t>
            </w:r>
            <w:r w:rsidRPr="000E5730">
              <w:t>m</w:t>
            </w:r>
            <w:r w:rsidRPr="000E5730">
              <w:rPr>
                <w:vertAlign w:val="superscript"/>
              </w:rPr>
              <w:t>3</w:t>
            </w:r>
            <w:r>
              <w:t>)</w:t>
            </w:r>
          </w:p>
        </w:tc>
        <w:tc>
          <w:tcPr>
            <w:tcW w:w="585" w:type="pct"/>
          </w:tcPr>
          <w:p w:rsidR="00B15156" w:rsidRPr="000E5730" w:rsidRDefault="00B15156" w:rsidP="00B15156">
            <w:pPr>
              <w:pStyle w:val="NoSpacing"/>
              <w:rPr>
                <w:bCs/>
              </w:rPr>
            </w:pPr>
            <w:r w:rsidRPr="000E5730">
              <w:rPr>
                <w:bCs/>
              </w:rPr>
              <w:t>North Drain</w:t>
            </w:r>
            <w:r>
              <w:rPr>
                <w:bCs/>
              </w:rPr>
              <w:t xml:space="preserve"> </w:t>
            </w:r>
            <w:r>
              <w:t>(</w:t>
            </w:r>
            <w:r w:rsidRPr="000E5730">
              <w:t>m</w:t>
            </w:r>
            <w:r w:rsidRPr="000E5730">
              <w:rPr>
                <w:vertAlign w:val="superscript"/>
              </w:rPr>
              <w:t>3</w:t>
            </w:r>
            <w:r>
              <w:t>)</w:t>
            </w:r>
          </w:p>
        </w:tc>
        <w:tc>
          <w:tcPr>
            <w:tcW w:w="920" w:type="pct"/>
          </w:tcPr>
          <w:p w:rsidR="00B15156" w:rsidRPr="000E5730" w:rsidRDefault="00B15156" w:rsidP="00B15156">
            <w:pPr>
              <w:pStyle w:val="NoSpacing"/>
              <w:rPr>
                <w:rFonts w:asciiTheme="minorHAnsi" w:hAnsiTheme="minorHAnsi"/>
              </w:rPr>
            </w:pPr>
            <w:r w:rsidRPr="000E5730">
              <w:rPr>
                <w:rFonts w:asciiTheme="minorHAnsi" w:hAnsiTheme="minorHAnsi"/>
              </w:rPr>
              <w:t>Evaporation</w:t>
            </w:r>
            <w:r>
              <w:rPr>
                <w:rFonts w:asciiTheme="minorHAnsi" w:hAnsiTheme="minorHAnsi"/>
              </w:rPr>
              <w:t xml:space="preserve"> </w:t>
            </w:r>
            <w:r>
              <w:t>(</w:t>
            </w:r>
            <w:r w:rsidRPr="000E5730">
              <w:t>m</w:t>
            </w:r>
            <w:r w:rsidRPr="000E5730">
              <w:rPr>
                <w:vertAlign w:val="superscript"/>
              </w:rPr>
              <w:t>3</w:t>
            </w:r>
            <w:r>
              <w:t>)</w:t>
            </w:r>
          </w:p>
        </w:tc>
        <w:tc>
          <w:tcPr>
            <w:tcW w:w="753" w:type="pct"/>
          </w:tcPr>
          <w:p w:rsidR="00B15156" w:rsidRPr="000E5730" w:rsidRDefault="00B15156" w:rsidP="00B15156">
            <w:pPr>
              <w:pStyle w:val="NoSpacing"/>
              <w:rPr>
                <w:rFonts w:asciiTheme="minorHAnsi" w:hAnsiTheme="minorHAnsi"/>
              </w:rPr>
            </w:pPr>
            <w:r w:rsidRPr="000E5730">
              <w:rPr>
                <w:rFonts w:asciiTheme="minorHAnsi" w:hAnsiTheme="minorHAnsi"/>
              </w:rPr>
              <w:t>Total</w:t>
            </w:r>
            <w:r>
              <w:rPr>
                <w:rFonts w:asciiTheme="minorHAnsi" w:hAnsiTheme="minorHAnsi"/>
              </w:rPr>
              <w:t xml:space="preserve"> </w:t>
            </w:r>
            <w:r>
              <w:t>(</w:t>
            </w:r>
            <w:r w:rsidRPr="000E5730">
              <w:t>m</w:t>
            </w:r>
            <w:r w:rsidRPr="000E5730">
              <w:rPr>
                <w:vertAlign w:val="superscript"/>
              </w:rPr>
              <w:t>3</w:t>
            </w:r>
            <w:r>
              <w:t>)</w:t>
            </w:r>
          </w:p>
        </w:tc>
        <w:tc>
          <w:tcPr>
            <w:tcW w:w="502" w:type="pct"/>
          </w:tcPr>
          <w:p w:rsidR="00B15156" w:rsidRPr="000E5730" w:rsidRDefault="00B15156" w:rsidP="00B15156">
            <w:pPr>
              <w:pStyle w:val="NoSpacing"/>
              <w:rPr>
                <w:rFonts w:asciiTheme="minorHAnsi" w:hAnsiTheme="minorHAnsi"/>
              </w:rPr>
            </w:pPr>
            <w:r w:rsidRPr="000E5730">
              <w:rPr>
                <w:rFonts w:asciiTheme="minorHAnsi" w:hAnsiTheme="minorHAnsi"/>
              </w:rPr>
              <w:t xml:space="preserve">% </w:t>
            </w:r>
            <w:r w:rsidRPr="000E5730">
              <w:rPr>
                <w:rFonts w:asciiTheme="minorHAnsi" w:hAnsiTheme="minorHAnsi"/>
                <w:i/>
                <w:iCs/>
              </w:rPr>
              <w:t>V</w:t>
            </w:r>
            <w:r w:rsidRPr="000E5730">
              <w:rPr>
                <w:rFonts w:asciiTheme="minorHAnsi" w:hAnsiTheme="minorHAnsi"/>
                <w:i/>
                <w:iCs/>
                <w:vertAlign w:val="subscript"/>
              </w:rPr>
              <w:t>med</w:t>
            </w:r>
          </w:p>
        </w:tc>
      </w:tr>
      <w:tr w:rsidR="00B15156" w:rsidRPr="000E5730" w:rsidTr="00003978">
        <w:tc>
          <w:tcPr>
            <w:tcW w:w="901" w:type="pct"/>
          </w:tcPr>
          <w:p w:rsidR="00B15156" w:rsidRPr="000E5730" w:rsidRDefault="00B15156" w:rsidP="00B15156">
            <w:pPr>
              <w:pStyle w:val="NoSpacing"/>
              <w:rPr>
                <w:rFonts w:asciiTheme="minorHAnsi" w:hAnsiTheme="minorHAnsi"/>
                <w:bCs/>
                <w:i/>
              </w:rPr>
            </w:pPr>
            <w:r w:rsidRPr="000E5730">
              <w:rPr>
                <w:rFonts w:asciiTheme="minorHAnsi" w:hAnsiTheme="minorHAnsi"/>
                <w:bCs/>
                <w:i/>
              </w:rPr>
              <w:t>Current T3</w:t>
            </w:r>
          </w:p>
        </w:tc>
        <w:tc>
          <w:tcPr>
            <w:tcW w:w="740" w:type="pct"/>
          </w:tcPr>
          <w:p w:rsidR="00B15156" w:rsidRPr="000E5730" w:rsidRDefault="00B15156" w:rsidP="00EA585A">
            <w:pPr>
              <w:pStyle w:val="NoSpacing"/>
              <w:jc w:val="right"/>
            </w:pPr>
            <w:r w:rsidRPr="000E5730">
              <w:t>59,232</w:t>
            </w:r>
          </w:p>
        </w:tc>
        <w:tc>
          <w:tcPr>
            <w:tcW w:w="599" w:type="pct"/>
          </w:tcPr>
          <w:p w:rsidR="00B15156" w:rsidRPr="000E5730" w:rsidRDefault="00B15156" w:rsidP="00EA585A">
            <w:pPr>
              <w:pStyle w:val="NoSpacing"/>
              <w:jc w:val="right"/>
            </w:pPr>
            <w:r w:rsidRPr="000E5730">
              <w:t>18,722</w:t>
            </w:r>
          </w:p>
        </w:tc>
        <w:tc>
          <w:tcPr>
            <w:tcW w:w="585" w:type="pct"/>
          </w:tcPr>
          <w:p w:rsidR="00B15156" w:rsidRPr="000E5730" w:rsidRDefault="00B15156" w:rsidP="00EA585A">
            <w:pPr>
              <w:pStyle w:val="NoSpacing"/>
              <w:jc w:val="right"/>
            </w:pPr>
            <w:r w:rsidRPr="000E5730">
              <w:t>N/A</w:t>
            </w:r>
          </w:p>
        </w:tc>
        <w:tc>
          <w:tcPr>
            <w:tcW w:w="920" w:type="pct"/>
          </w:tcPr>
          <w:p w:rsidR="00B15156" w:rsidRPr="000E5730" w:rsidRDefault="00B15156" w:rsidP="00EA585A">
            <w:pPr>
              <w:pStyle w:val="NoSpacing"/>
              <w:jc w:val="right"/>
            </w:pPr>
            <w:r w:rsidRPr="000E5730">
              <w:t>224,825</w:t>
            </w:r>
          </w:p>
        </w:tc>
        <w:tc>
          <w:tcPr>
            <w:tcW w:w="753" w:type="pct"/>
          </w:tcPr>
          <w:p w:rsidR="00B15156" w:rsidRPr="000E5730" w:rsidRDefault="00EA585A" w:rsidP="00EA585A">
            <w:pPr>
              <w:pStyle w:val="NoSpacing"/>
              <w:jc w:val="right"/>
            </w:pPr>
            <w:r>
              <w:t>77,954</w:t>
            </w:r>
          </w:p>
        </w:tc>
        <w:tc>
          <w:tcPr>
            <w:tcW w:w="502" w:type="pct"/>
          </w:tcPr>
          <w:p w:rsidR="00B15156" w:rsidRPr="000E5730" w:rsidRDefault="00003978" w:rsidP="00EA585A">
            <w:pPr>
              <w:pStyle w:val="NoSpacing"/>
              <w:jc w:val="right"/>
            </w:pPr>
            <w:r>
              <w:t>1.8</w:t>
            </w:r>
          </w:p>
        </w:tc>
      </w:tr>
      <w:tr w:rsidR="00B15156" w:rsidRPr="000E5730" w:rsidTr="00003978">
        <w:tc>
          <w:tcPr>
            <w:tcW w:w="901" w:type="pct"/>
          </w:tcPr>
          <w:p w:rsidR="00B15156" w:rsidRPr="00B15156" w:rsidRDefault="00B15156" w:rsidP="00B15156">
            <w:pPr>
              <w:pStyle w:val="NoSpacing"/>
              <w:rPr>
                <w:i/>
              </w:rPr>
            </w:pPr>
            <w:r w:rsidRPr="00B15156">
              <w:rPr>
                <w:i/>
              </w:rPr>
              <w:t>Complete T3</w:t>
            </w:r>
          </w:p>
        </w:tc>
        <w:tc>
          <w:tcPr>
            <w:tcW w:w="740" w:type="pct"/>
          </w:tcPr>
          <w:p w:rsidR="00B15156" w:rsidRPr="000E5730" w:rsidRDefault="00B15156" w:rsidP="00EA585A">
            <w:pPr>
              <w:pStyle w:val="NoSpacing"/>
              <w:jc w:val="right"/>
            </w:pPr>
            <w:r w:rsidRPr="000E5730">
              <w:t>3,015,619</w:t>
            </w:r>
          </w:p>
        </w:tc>
        <w:tc>
          <w:tcPr>
            <w:tcW w:w="599" w:type="pct"/>
          </w:tcPr>
          <w:p w:rsidR="00B15156" w:rsidRPr="000E5730" w:rsidRDefault="00B15156" w:rsidP="00EA585A">
            <w:pPr>
              <w:pStyle w:val="NoSpacing"/>
              <w:jc w:val="right"/>
              <w:rPr>
                <w:bCs/>
              </w:rPr>
            </w:pPr>
            <w:r w:rsidRPr="000E5730">
              <w:t>527,743</w:t>
            </w:r>
          </w:p>
        </w:tc>
        <w:tc>
          <w:tcPr>
            <w:tcW w:w="585" w:type="pct"/>
          </w:tcPr>
          <w:p w:rsidR="00B15156" w:rsidRPr="000E5730" w:rsidRDefault="00B15156" w:rsidP="00EA585A">
            <w:pPr>
              <w:pStyle w:val="NoSpacing"/>
              <w:jc w:val="right"/>
            </w:pPr>
            <w:r w:rsidRPr="000E5730">
              <w:t>40,169</w:t>
            </w:r>
          </w:p>
        </w:tc>
        <w:tc>
          <w:tcPr>
            <w:tcW w:w="920" w:type="pct"/>
          </w:tcPr>
          <w:p w:rsidR="00B15156" w:rsidRPr="000E5730" w:rsidRDefault="00B15156" w:rsidP="00EA585A">
            <w:pPr>
              <w:pStyle w:val="NoSpacing"/>
              <w:jc w:val="right"/>
            </w:pPr>
            <w:r w:rsidRPr="000E5730">
              <w:t>224,825</w:t>
            </w:r>
          </w:p>
        </w:tc>
        <w:tc>
          <w:tcPr>
            <w:tcW w:w="753" w:type="pct"/>
          </w:tcPr>
          <w:p w:rsidR="00B15156" w:rsidRPr="000E5730" w:rsidRDefault="00B15156" w:rsidP="00EA585A">
            <w:pPr>
              <w:pStyle w:val="NoSpacing"/>
              <w:jc w:val="right"/>
            </w:pPr>
            <w:r w:rsidRPr="000E5730">
              <w:t>3,808,356</w:t>
            </w:r>
          </w:p>
        </w:tc>
        <w:tc>
          <w:tcPr>
            <w:tcW w:w="502" w:type="pct"/>
          </w:tcPr>
          <w:p w:rsidR="00B15156" w:rsidRPr="000E5730" w:rsidRDefault="00003978" w:rsidP="00EA585A">
            <w:pPr>
              <w:pStyle w:val="NoSpacing"/>
              <w:jc w:val="right"/>
            </w:pPr>
            <w:r>
              <w:t>83.8</w:t>
            </w:r>
          </w:p>
        </w:tc>
      </w:tr>
    </w:tbl>
    <w:p w:rsidR="001C0DDE" w:rsidRDefault="001C0DDE" w:rsidP="00B4335D">
      <w:pPr>
        <w:pStyle w:val="Heading2"/>
        <w:numPr>
          <w:ilvl w:val="0"/>
          <w:numId w:val="16"/>
        </w:numPr>
      </w:pPr>
      <w:bookmarkStart w:id="5" w:name="_Toc402956172"/>
      <w:r w:rsidRPr="001C0DDE">
        <w:lastRenderedPageBreak/>
        <w:t>Storage component 1: the available vol</w:t>
      </w:r>
      <w:r w:rsidR="00B4335D">
        <w:t>ume in the surface water bodies</w:t>
      </w:r>
      <w:bookmarkEnd w:id="5"/>
    </w:p>
    <w:p w:rsidR="00B4335D" w:rsidRPr="00B4335D" w:rsidRDefault="00B4335D" w:rsidP="00B4335D"/>
    <w:p w:rsidR="00664D7E" w:rsidRDefault="001C0DDE" w:rsidP="00856D43">
      <w:pPr>
        <w:jc w:val="both"/>
        <w:rPr>
          <w:rFonts w:eastAsia="Times New Roman" w:cs="Arial"/>
        </w:rPr>
      </w:pPr>
      <w:r>
        <w:t xml:space="preserve">The method adopted here is to use GIS data to quantify the area of surface water features. As shown in table 1, these fall in to one of three categories: Main </w:t>
      </w:r>
      <w:r w:rsidRPr="001C0DDE">
        <w:t xml:space="preserve">river, </w:t>
      </w:r>
      <w:r w:rsidRPr="001C0DDE">
        <w:rPr>
          <w:rFonts w:eastAsia="Times New Roman" w:cs="Arial"/>
        </w:rPr>
        <w:t>Viewed Rhyne</w:t>
      </w:r>
      <w:r>
        <w:rPr>
          <w:rFonts w:eastAsia="Times New Roman" w:cs="Arial"/>
        </w:rPr>
        <w:t xml:space="preserve"> and Ordinary watercourse. For each category, the total length of each has been calculated and where quantifiable differences in water level management exist (i.e. those areas subject to Tier 3 management and </w:t>
      </w:r>
      <w:r w:rsidRPr="00A47285">
        <w:rPr>
          <w:rFonts w:eastAsia="Times New Roman" w:cs="Arial"/>
        </w:rPr>
        <w:t xml:space="preserve">those not), the total length under each management regime is calculated. </w:t>
      </w:r>
      <w:r w:rsidR="00A47285" w:rsidRPr="00A47285">
        <w:rPr>
          <w:rFonts w:eastAsia="Times New Roman" w:cs="Arial"/>
        </w:rPr>
        <w:t xml:space="preserve">The widths of each of </w:t>
      </w:r>
      <w:r w:rsidRPr="00A47285">
        <w:rPr>
          <w:rFonts w:eastAsia="Times New Roman" w:cs="Arial"/>
        </w:rPr>
        <w:t xml:space="preserve">main river, viewed rhyne and ordinary watercourse has been established through </w:t>
      </w:r>
      <w:r w:rsidR="00A47285" w:rsidRPr="00A47285">
        <w:rPr>
          <w:rFonts w:eastAsia="Times New Roman" w:cs="Arial"/>
        </w:rPr>
        <w:t>field investigation</w:t>
      </w:r>
      <w:r w:rsidR="00191635">
        <w:rPr>
          <w:rFonts w:eastAsia="Times New Roman" w:cs="Arial"/>
        </w:rPr>
        <w:t xml:space="preserve"> in 2014</w:t>
      </w:r>
      <w:r w:rsidR="00A47285" w:rsidRPr="00A47285">
        <w:rPr>
          <w:rFonts w:eastAsia="Times New Roman" w:cs="Arial"/>
        </w:rPr>
        <w:t xml:space="preserve">, </w:t>
      </w:r>
      <w:r w:rsidRPr="00A47285">
        <w:rPr>
          <w:rFonts w:eastAsia="Times New Roman" w:cs="Arial"/>
        </w:rPr>
        <w:t>and this is applied to the corresponding lengths in order to calculate the area of each surface water feature type.</w:t>
      </w:r>
      <w:r>
        <w:rPr>
          <w:rFonts w:eastAsia="Times New Roman" w:cs="Arial"/>
        </w:rPr>
        <w:t xml:space="preserve"> </w:t>
      </w:r>
      <w:r w:rsidR="00664D7E">
        <w:rPr>
          <w:rFonts w:eastAsia="Times New Roman" w:cs="Arial"/>
        </w:rPr>
        <w:t>The results of the watercourse width fie</w:t>
      </w:r>
      <w:r w:rsidR="009F5D32">
        <w:rPr>
          <w:rFonts w:eastAsia="Times New Roman" w:cs="Arial"/>
        </w:rPr>
        <w:t>ld survey are shown in table 5</w:t>
      </w:r>
      <w:r w:rsidR="00664D7E">
        <w:rPr>
          <w:rFonts w:eastAsia="Times New Roman" w:cs="Arial"/>
        </w:rPr>
        <w:t>.</w:t>
      </w:r>
    </w:p>
    <w:p w:rsidR="00587232" w:rsidRPr="00587232" w:rsidRDefault="00587232" w:rsidP="00587232">
      <w:pPr>
        <w:pStyle w:val="Caption"/>
        <w:keepNext/>
        <w:rPr>
          <w:b w:val="0"/>
          <w:color w:val="auto"/>
          <w:sz w:val="22"/>
          <w:szCs w:val="22"/>
        </w:rPr>
      </w:pPr>
      <w:r w:rsidRPr="00587232">
        <w:rPr>
          <w:b w:val="0"/>
          <w:color w:val="auto"/>
          <w:sz w:val="22"/>
          <w:szCs w:val="22"/>
        </w:rPr>
        <w:t xml:space="preserve">Table </w:t>
      </w:r>
      <w:r w:rsidR="00251534" w:rsidRPr="00587232">
        <w:rPr>
          <w:b w:val="0"/>
          <w:color w:val="auto"/>
          <w:sz w:val="22"/>
          <w:szCs w:val="22"/>
        </w:rPr>
        <w:fldChar w:fldCharType="begin"/>
      </w:r>
      <w:r w:rsidRPr="00587232">
        <w:rPr>
          <w:b w:val="0"/>
          <w:color w:val="auto"/>
          <w:sz w:val="22"/>
          <w:szCs w:val="22"/>
        </w:rPr>
        <w:instrText xml:space="preserve"> SEQ Table \* ARABIC </w:instrText>
      </w:r>
      <w:r w:rsidR="00251534" w:rsidRPr="00587232">
        <w:rPr>
          <w:b w:val="0"/>
          <w:color w:val="auto"/>
          <w:sz w:val="22"/>
          <w:szCs w:val="22"/>
        </w:rPr>
        <w:fldChar w:fldCharType="separate"/>
      </w:r>
      <w:r w:rsidR="000E193B">
        <w:rPr>
          <w:b w:val="0"/>
          <w:noProof/>
          <w:color w:val="auto"/>
          <w:sz w:val="22"/>
          <w:szCs w:val="22"/>
        </w:rPr>
        <w:t>5</w:t>
      </w:r>
      <w:r w:rsidR="00251534" w:rsidRPr="00587232">
        <w:rPr>
          <w:b w:val="0"/>
          <w:color w:val="auto"/>
          <w:sz w:val="22"/>
          <w:szCs w:val="22"/>
        </w:rPr>
        <w:fldChar w:fldCharType="end"/>
      </w:r>
      <w:r w:rsidR="00DA5F29">
        <w:rPr>
          <w:b w:val="0"/>
          <w:color w:val="auto"/>
          <w:sz w:val="22"/>
          <w:szCs w:val="22"/>
        </w:rPr>
        <w:t>.</w:t>
      </w:r>
      <w:r w:rsidRPr="00587232">
        <w:rPr>
          <w:b w:val="0"/>
          <w:color w:val="auto"/>
          <w:sz w:val="22"/>
          <w:szCs w:val="22"/>
        </w:rPr>
        <w:t xml:space="preserve"> Summary of watercourse wid</w:t>
      </w:r>
      <w:r w:rsidR="00DA5F29">
        <w:rPr>
          <w:b w:val="0"/>
          <w:color w:val="auto"/>
          <w:sz w:val="22"/>
          <w:szCs w:val="22"/>
        </w:rPr>
        <w:t>ths established by field survey.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2540"/>
        <w:gridCol w:w="2026"/>
        <w:gridCol w:w="1314"/>
      </w:tblGrid>
      <w:tr w:rsidR="00664D7E" w:rsidRPr="00664D7E" w:rsidTr="00587232">
        <w:trPr>
          <w:trHeight w:val="300"/>
        </w:trPr>
        <w:tc>
          <w:tcPr>
            <w:tcW w:w="1819" w:type="pct"/>
            <w:shd w:val="clear" w:color="auto" w:fill="auto"/>
            <w:hideMark/>
          </w:tcPr>
          <w:p w:rsidR="00664D7E" w:rsidRPr="00664D7E" w:rsidRDefault="00664D7E" w:rsidP="00664D7E">
            <w:pPr>
              <w:spacing w:after="0" w:line="240" w:lineRule="auto"/>
              <w:rPr>
                <w:rFonts w:ascii="Arial" w:eastAsia="Times New Roman" w:hAnsi="Arial" w:cs="Arial"/>
                <w:b/>
                <w:bCs/>
                <w:color w:val="000000"/>
                <w:sz w:val="20"/>
                <w:szCs w:val="20"/>
              </w:rPr>
            </w:pPr>
            <w:r w:rsidRPr="00664D7E">
              <w:rPr>
                <w:rFonts w:ascii="Arial" w:eastAsia="Times New Roman" w:hAnsi="Arial" w:cs="Arial"/>
                <w:b/>
                <w:bCs/>
                <w:color w:val="000000"/>
                <w:sz w:val="20"/>
                <w:szCs w:val="20"/>
              </w:rPr>
              <w:t>Site</w:t>
            </w:r>
          </w:p>
        </w:tc>
        <w:tc>
          <w:tcPr>
            <w:tcW w:w="1374" w:type="pct"/>
            <w:shd w:val="clear" w:color="auto" w:fill="auto"/>
            <w:noWrap/>
            <w:vAlign w:val="bottom"/>
            <w:hideMark/>
          </w:tcPr>
          <w:p w:rsidR="00664D7E" w:rsidRPr="00664D7E" w:rsidRDefault="00664D7E" w:rsidP="00664D7E">
            <w:pPr>
              <w:spacing w:after="0" w:line="240" w:lineRule="auto"/>
              <w:rPr>
                <w:rFonts w:ascii="Calibri" w:eastAsia="Times New Roman" w:hAnsi="Calibri" w:cs="Times New Roman"/>
                <w:b/>
                <w:bCs/>
                <w:color w:val="000000"/>
              </w:rPr>
            </w:pPr>
            <w:r w:rsidRPr="00664D7E">
              <w:rPr>
                <w:rFonts w:ascii="Calibri" w:eastAsia="Times New Roman" w:hAnsi="Calibri" w:cs="Times New Roman"/>
                <w:b/>
                <w:bCs/>
                <w:color w:val="000000"/>
              </w:rPr>
              <w:t>Watercourse type</w:t>
            </w:r>
          </w:p>
        </w:tc>
        <w:tc>
          <w:tcPr>
            <w:tcW w:w="1096" w:type="pct"/>
            <w:shd w:val="clear" w:color="auto" w:fill="auto"/>
            <w:noWrap/>
            <w:vAlign w:val="bottom"/>
            <w:hideMark/>
          </w:tcPr>
          <w:p w:rsidR="00664D7E" w:rsidRPr="00664D7E" w:rsidRDefault="00664D7E" w:rsidP="00664D7E">
            <w:pPr>
              <w:spacing w:after="0" w:line="240" w:lineRule="auto"/>
              <w:rPr>
                <w:rFonts w:ascii="Calibri" w:eastAsia="Times New Roman" w:hAnsi="Calibri" w:cs="Times New Roman"/>
                <w:b/>
                <w:bCs/>
                <w:color w:val="000000"/>
              </w:rPr>
            </w:pPr>
            <w:r w:rsidRPr="00664D7E">
              <w:rPr>
                <w:rFonts w:ascii="Calibri" w:eastAsia="Times New Roman" w:hAnsi="Calibri" w:cs="Times New Roman"/>
                <w:b/>
                <w:bCs/>
                <w:color w:val="000000"/>
              </w:rPr>
              <w:t>Average width (m)</w:t>
            </w:r>
          </w:p>
        </w:tc>
        <w:tc>
          <w:tcPr>
            <w:tcW w:w="711" w:type="pct"/>
            <w:shd w:val="clear" w:color="auto" w:fill="auto"/>
            <w:noWrap/>
            <w:vAlign w:val="bottom"/>
            <w:hideMark/>
          </w:tcPr>
          <w:p w:rsidR="00664D7E" w:rsidRPr="00664D7E" w:rsidRDefault="00664D7E" w:rsidP="00664D7E">
            <w:pPr>
              <w:spacing w:after="0" w:line="240" w:lineRule="auto"/>
              <w:rPr>
                <w:rFonts w:ascii="Calibri" w:eastAsia="Times New Roman" w:hAnsi="Calibri" w:cs="Times New Roman"/>
                <w:b/>
                <w:bCs/>
                <w:color w:val="000000"/>
              </w:rPr>
            </w:pPr>
            <w:r w:rsidRPr="00664D7E">
              <w:rPr>
                <w:rFonts w:ascii="Calibri" w:eastAsia="Times New Roman" w:hAnsi="Calibri" w:cs="Times New Roman"/>
                <w:b/>
                <w:bCs/>
                <w:color w:val="000000"/>
              </w:rPr>
              <w:t>Sample size</w:t>
            </w:r>
          </w:p>
        </w:tc>
      </w:tr>
      <w:tr w:rsidR="00664D7E" w:rsidRPr="00664D7E" w:rsidTr="00587232">
        <w:trPr>
          <w:trHeight w:val="300"/>
        </w:trPr>
        <w:tc>
          <w:tcPr>
            <w:tcW w:w="1819" w:type="pct"/>
            <w:shd w:val="clear" w:color="auto" w:fill="auto"/>
            <w:hideMark/>
          </w:tcPr>
          <w:p w:rsidR="00664D7E" w:rsidRPr="00664D7E" w:rsidRDefault="00664D7E" w:rsidP="00664D7E">
            <w:pPr>
              <w:spacing w:after="0" w:line="240" w:lineRule="auto"/>
              <w:rPr>
                <w:rFonts w:ascii="Arial" w:eastAsia="Times New Roman" w:hAnsi="Arial" w:cs="Arial"/>
                <w:b/>
                <w:bCs/>
                <w:color w:val="000000"/>
                <w:sz w:val="20"/>
                <w:szCs w:val="20"/>
              </w:rPr>
            </w:pPr>
            <w:r w:rsidRPr="00664D7E">
              <w:rPr>
                <w:rFonts w:ascii="Arial" w:eastAsia="Times New Roman" w:hAnsi="Arial" w:cs="Arial"/>
                <w:b/>
                <w:bCs/>
                <w:color w:val="000000"/>
                <w:sz w:val="20"/>
                <w:szCs w:val="20"/>
              </w:rPr>
              <w:t>Tealham and Tadham Moor</w:t>
            </w:r>
          </w:p>
        </w:tc>
        <w:tc>
          <w:tcPr>
            <w:tcW w:w="1374" w:type="pct"/>
            <w:shd w:val="clear" w:color="auto" w:fill="auto"/>
            <w:noWrap/>
            <w:vAlign w:val="bottom"/>
            <w:hideMark/>
          </w:tcPr>
          <w:p w:rsidR="00664D7E" w:rsidRPr="00664D7E" w:rsidRDefault="00664D7E" w:rsidP="00664D7E">
            <w:pPr>
              <w:spacing w:after="0" w:line="240" w:lineRule="auto"/>
              <w:rPr>
                <w:rFonts w:ascii="Calibri" w:eastAsia="Times New Roman" w:hAnsi="Calibri" w:cs="Times New Roman"/>
                <w:color w:val="000000"/>
              </w:rPr>
            </w:pPr>
            <w:r w:rsidRPr="00664D7E">
              <w:rPr>
                <w:rFonts w:ascii="Calibri" w:eastAsia="Times New Roman" w:hAnsi="Calibri" w:cs="Times New Roman"/>
                <w:color w:val="000000"/>
              </w:rPr>
              <w:t>Ordinary watercourse</w:t>
            </w:r>
          </w:p>
        </w:tc>
        <w:tc>
          <w:tcPr>
            <w:tcW w:w="1096" w:type="pct"/>
            <w:shd w:val="clear" w:color="auto" w:fill="auto"/>
            <w:noWrap/>
            <w:vAlign w:val="bottom"/>
            <w:hideMark/>
          </w:tcPr>
          <w:p w:rsidR="00664D7E" w:rsidRPr="00664D7E" w:rsidRDefault="00664D7E" w:rsidP="00664D7E">
            <w:pPr>
              <w:spacing w:after="0" w:line="240" w:lineRule="auto"/>
              <w:jc w:val="right"/>
              <w:rPr>
                <w:rFonts w:ascii="Calibri" w:eastAsia="Times New Roman" w:hAnsi="Calibri" w:cs="Times New Roman"/>
                <w:color w:val="000000"/>
              </w:rPr>
            </w:pPr>
            <w:r w:rsidRPr="00664D7E">
              <w:rPr>
                <w:rFonts w:ascii="Calibri" w:eastAsia="Times New Roman" w:hAnsi="Calibri" w:cs="Times New Roman"/>
                <w:color w:val="000000"/>
              </w:rPr>
              <w:t>2.9</w:t>
            </w:r>
          </w:p>
        </w:tc>
        <w:tc>
          <w:tcPr>
            <w:tcW w:w="711" w:type="pct"/>
            <w:shd w:val="clear" w:color="auto" w:fill="auto"/>
            <w:noWrap/>
            <w:vAlign w:val="bottom"/>
            <w:hideMark/>
          </w:tcPr>
          <w:p w:rsidR="00664D7E" w:rsidRPr="00664D7E" w:rsidRDefault="00664D7E" w:rsidP="00664D7E">
            <w:pPr>
              <w:spacing w:after="0" w:line="240" w:lineRule="auto"/>
              <w:jc w:val="right"/>
              <w:rPr>
                <w:rFonts w:ascii="Calibri" w:eastAsia="Times New Roman" w:hAnsi="Calibri" w:cs="Times New Roman"/>
                <w:color w:val="000000"/>
              </w:rPr>
            </w:pPr>
            <w:r w:rsidRPr="00664D7E">
              <w:rPr>
                <w:rFonts w:ascii="Calibri" w:eastAsia="Times New Roman" w:hAnsi="Calibri" w:cs="Times New Roman"/>
                <w:color w:val="000000"/>
              </w:rPr>
              <w:t>52</w:t>
            </w:r>
          </w:p>
        </w:tc>
      </w:tr>
      <w:tr w:rsidR="00664D7E" w:rsidRPr="00664D7E" w:rsidTr="00587232">
        <w:trPr>
          <w:trHeight w:val="300"/>
        </w:trPr>
        <w:tc>
          <w:tcPr>
            <w:tcW w:w="1819" w:type="pct"/>
            <w:shd w:val="clear" w:color="auto" w:fill="auto"/>
            <w:noWrap/>
            <w:vAlign w:val="bottom"/>
            <w:hideMark/>
          </w:tcPr>
          <w:p w:rsidR="00664D7E" w:rsidRPr="00664D7E" w:rsidRDefault="00664D7E" w:rsidP="00664D7E">
            <w:pPr>
              <w:spacing w:after="0" w:line="240" w:lineRule="auto"/>
              <w:rPr>
                <w:rFonts w:ascii="Calibri" w:eastAsia="Times New Roman" w:hAnsi="Calibri" w:cs="Times New Roman"/>
                <w:color w:val="000000"/>
              </w:rPr>
            </w:pPr>
          </w:p>
        </w:tc>
        <w:tc>
          <w:tcPr>
            <w:tcW w:w="1374" w:type="pct"/>
            <w:shd w:val="clear" w:color="auto" w:fill="auto"/>
            <w:noWrap/>
            <w:vAlign w:val="bottom"/>
            <w:hideMark/>
          </w:tcPr>
          <w:p w:rsidR="00664D7E" w:rsidRPr="00664D7E" w:rsidRDefault="00664D7E" w:rsidP="00664D7E">
            <w:pPr>
              <w:spacing w:after="0" w:line="240" w:lineRule="auto"/>
              <w:rPr>
                <w:rFonts w:ascii="Calibri" w:eastAsia="Times New Roman" w:hAnsi="Calibri" w:cs="Times New Roman"/>
                <w:color w:val="000000"/>
              </w:rPr>
            </w:pPr>
            <w:r w:rsidRPr="00664D7E">
              <w:rPr>
                <w:rFonts w:ascii="Calibri" w:eastAsia="Times New Roman" w:hAnsi="Calibri" w:cs="Times New Roman"/>
                <w:color w:val="000000"/>
              </w:rPr>
              <w:t>Viewed rhyne</w:t>
            </w:r>
          </w:p>
        </w:tc>
        <w:tc>
          <w:tcPr>
            <w:tcW w:w="1096" w:type="pct"/>
            <w:shd w:val="clear" w:color="auto" w:fill="auto"/>
            <w:noWrap/>
            <w:vAlign w:val="bottom"/>
            <w:hideMark/>
          </w:tcPr>
          <w:p w:rsidR="00664D7E" w:rsidRPr="00664D7E" w:rsidRDefault="00664D7E" w:rsidP="00664D7E">
            <w:pPr>
              <w:spacing w:after="0" w:line="240" w:lineRule="auto"/>
              <w:jc w:val="right"/>
              <w:rPr>
                <w:rFonts w:ascii="Calibri" w:eastAsia="Times New Roman" w:hAnsi="Calibri" w:cs="Times New Roman"/>
                <w:color w:val="000000"/>
              </w:rPr>
            </w:pPr>
            <w:r w:rsidRPr="00664D7E">
              <w:rPr>
                <w:rFonts w:ascii="Calibri" w:eastAsia="Times New Roman" w:hAnsi="Calibri" w:cs="Times New Roman"/>
                <w:color w:val="000000"/>
              </w:rPr>
              <w:t>3.1</w:t>
            </w:r>
          </w:p>
        </w:tc>
        <w:tc>
          <w:tcPr>
            <w:tcW w:w="711" w:type="pct"/>
            <w:shd w:val="clear" w:color="auto" w:fill="auto"/>
            <w:noWrap/>
            <w:vAlign w:val="bottom"/>
            <w:hideMark/>
          </w:tcPr>
          <w:p w:rsidR="00664D7E" w:rsidRPr="00664D7E" w:rsidRDefault="00664D7E" w:rsidP="00664D7E">
            <w:pPr>
              <w:spacing w:after="0" w:line="240" w:lineRule="auto"/>
              <w:jc w:val="right"/>
              <w:rPr>
                <w:rFonts w:ascii="Calibri" w:eastAsia="Times New Roman" w:hAnsi="Calibri" w:cs="Times New Roman"/>
                <w:color w:val="000000"/>
              </w:rPr>
            </w:pPr>
            <w:r w:rsidRPr="00664D7E">
              <w:rPr>
                <w:rFonts w:ascii="Calibri" w:eastAsia="Times New Roman" w:hAnsi="Calibri" w:cs="Times New Roman"/>
                <w:color w:val="000000"/>
              </w:rPr>
              <w:t>44</w:t>
            </w:r>
          </w:p>
        </w:tc>
      </w:tr>
      <w:tr w:rsidR="00664D7E" w:rsidRPr="00664D7E" w:rsidTr="00587232">
        <w:trPr>
          <w:trHeight w:val="300"/>
        </w:trPr>
        <w:tc>
          <w:tcPr>
            <w:tcW w:w="1819" w:type="pct"/>
            <w:shd w:val="clear" w:color="auto" w:fill="auto"/>
            <w:noWrap/>
            <w:vAlign w:val="bottom"/>
            <w:hideMark/>
          </w:tcPr>
          <w:p w:rsidR="00664D7E" w:rsidRPr="00664D7E" w:rsidRDefault="00664D7E" w:rsidP="00664D7E">
            <w:pPr>
              <w:spacing w:after="0" w:line="240" w:lineRule="auto"/>
              <w:rPr>
                <w:rFonts w:ascii="Calibri" w:eastAsia="Times New Roman" w:hAnsi="Calibri" w:cs="Times New Roman"/>
                <w:color w:val="000000"/>
              </w:rPr>
            </w:pPr>
          </w:p>
        </w:tc>
        <w:tc>
          <w:tcPr>
            <w:tcW w:w="1374" w:type="pct"/>
            <w:shd w:val="clear" w:color="auto" w:fill="auto"/>
            <w:noWrap/>
            <w:vAlign w:val="bottom"/>
            <w:hideMark/>
          </w:tcPr>
          <w:p w:rsidR="00664D7E" w:rsidRPr="00664D7E" w:rsidRDefault="00664D7E" w:rsidP="00664D7E">
            <w:pPr>
              <w:spacing w:after="0" w:line="240" w:lineRule="auto"/>
              <w:rPr>
                <w:rFonts w:ascii="Calibri" w:eastAsia="Times New Roman" w:hAnsi="Calibri" w:cs="Times New Roman"/>
                <w:color w:val="000000"/>
              </w:rPr>
            </w:pPr>
            <w:r w:rsidRPr="00664D7E">
              <w:rPr>
                <w:rFonts w:ascii="Calibri" w:eastAsia="Times New Roman" w:hAnsi="Calibri" w:cs="Times New Roman"/>
                <w:color w:val="000000"/>
              </w:rPr>
              <w:t>Main river</w:t>
            </w:r>
          </w:p>
        </w:tc>
        <w:tc>
          <w:tcPr>
            <w:tcW w:w="1096" w:type="pct"/>
            <w:shd w:val="clear" w:color="auto" w:fill="auto"/>
            <w:noWrap/>
            <w:vAlign w:val="bottom"/>
            <w:hideMark/>
          </w:tcPr>
          <w:p w:rsidR="00664D7E" w:rsidRPr="00664D7E" w:rsidRDefault="00664D7E" w:rsidP="00664D7E">
            <w:pPr>
              <w:spacing w:after="0" w:line="240" w:lineRule="auto"/>
              <w:jc w:val="right"/>
              <w:rPr>
                <w:rFonts w:ascii="Calibri" w:eastAsia="Times New Roman" w:hAnsi="Calibri" w:cs="Times New Roman"/>
                <w:color w:val="000000"/>
              </w:rPr>
            </w:pPr>
            <w:r w:rsidRPr="00664D7E">
              <w:rPr>
                <w:rFonts w:ascii="Calibri" w:eastAsia="Times New Roman" w:hAnsi="Calibri" w:cs="Times New Roman"/>
                <w:color w:val="000000"/>
              </w:rPr>
              <w:t>11</w:t>
            </w:r>
          </w:p>
        </w:tc>
        <w:tc>
          <w:tcPr>
            <w:tcW w:w="711" w:type="pct"/>
            <w:shd w:val="clear" w:color="auto" w:fill="auto"/>
            <w:noWrap/>
            <w:vAlign w:val="bottom"/>
            <w:hideMark/>
          </w:tcPr>
          <w:p w:rsidR="00664D7E" w:rsidRPr="00664D7E" w:rsidRDefault="00664D7E" w:rsidP="00664D7E">
            <w:pPr>
              <w:spacing w:after="0" w:line="240" w:lineRule="auto"/>
              <w:jc w:val="right"/>
              <w:rPr>
                <w:rFonts w:ascii="Calibri" w:eastAsia="Times New Roman" w:hAnsi="Calibri" w:cs="Times New Roman"/>
                <w:color w:val="000000"/>
              </w:rPr>
            </w:pPr>
            <w:r w:rsidRPr="00664D7E">
              <w:rPr>
                <w:rFonts w:ascii="Calibri" w:eastAsia="Times New Roman" w:hAnsi="Calibri" w:cs="Times New Roman"/>
                <w:color w:val="000000"/>
              </w:rPr>
              <w:t>6</w:t>
            </w:r>
          </w:p>
        </w:tc>
      </w:tr>
      <w:tr w:rsidR="00664D7E" w:rsidRPr="00664D7E" w:rsidTr="00587232">
        <w:trPr>
          <w:trHeight w:val="300"/>
        </w:trPr>
        <w:tc>
          <w:tcPr>
            <w:tcW w:w="1819" w:type="pct"/>
            <w:shd w:val="clear" w:color="auto" w:fill="auto"/>
            <w:noWrap/>
            <w:vAlign w:val="bottom"/>
            <w:hideMark/>
          </w:tcPr>
          <w:p w:rsidR="00664D7E" w:rsidRPr="00664D7E" w:rsidRDefault="00664D7E" w:rsidP="00664D7E">
            <w:pPr>
              <w:spacing w:after="0" w:line="240" w:lineRule="auto"/>
              <w:rPr>
                <w:rFonts w:ascii="Calibri" w:eastAsia="Times New Roman" w:hAnsi="Calibri" w:cs="Times New Roman"/>
                <w:b/>
                <w:bCs/>
                <w:color w:val="000000"/>
              </w:rPr>
            </w:pPr>
            <w:r w:rsidRPr="00664D7E">
              <w:rPr>
                <w:rFonts w:ascii="Calibri" w:eastAsia="Times New Roman" w:hAnsi="Calibri" w:cs="Times New Roman"/>
                <w:b/>
                <w:bCs/>
                <w:color w:val="000000"/>
              </w:rPr>
              <w:t>North Moor</w:t>
            </w:r>
          </w:p>
        </w:tc>
        <w:tc>
          <w:tcPr>
            <w:tcW w:w="1374" w:type="pct"/>
            <w:shd w:val="clear" w:color="auto" w:fill="auto"/>
            <w:noWrap/>
            <w:vAlign w:val="bottom"/>
            <w:hideMark/>
          </w:tcPr>
          <w:p w:rsidR="00664D7E" w:rsidRPr="00664D7E" w:rsidRDefault="00664D7E" w:rsidP="00664D7E">
            <w:pPr>
              <w:spacing w:after="0" w:line="240" w:lineRule="auto"/>
              <w:rPr>
                <w:rFonts w:ascii="Calibri" w:eastAsia="Times New Roman" w:hAnsi="Calibri" w:cs="Times New Roman"/>
                <w:color w:val="000000"/>
              </w:rPr>
            </w:pPr>
            <w:r w:rsidRPr="00664D7E">
              <w:rPr>
                <w:rFonts w:ascii="Calibri" w:eastAsia="Times New Roman" w:hAnsi="Calibri" w:cs="Times New Roman"/>
                <w:color w:val="000000"/>
              </w:rPr>
              <w:t>Ordinary watercourse</w:t>
            </w:r>
          </w:p>
        </w:tc>
        <w:tc>
          <w:tcPr>
            <w:tcW w:w="1096" w:type="pct"/>
            <w:shd w:val="clear" w:color="auto" w:fill="auto"/>
            <w:noWrap/>
            <w:vAlign w:val="bottom"/>
            <w:hideMark/>
          </w:tcPr>
          <w:p w:rsidR="00664D7E" w:rsidRPr="00664D7E" w:rsidRDefault="00664D7E" w:rsidP="00664D7E">
            <w:pPr>
              <w:spacing w:after="0" w:line="240" w:lineRule="auto"/>
              <w:jc w:val="right"/>
              <w:rPr>
                <w:rFonts w:ascii="Calibri" w:eastAsia="Times New Roman" w:hAnsi="Calibri" w:cs="Times New Roman"/>
                <w:color w:val="000000"/>
              </w:rPr>
            </w:pPr>
            <w:r w:rsidRPr="00664D7E">
              <w:rPr>
                <w:rFonts w:ascii="Calibri" w:eastAsia="Times New Roman" w:hAnsi="Calibri" w:cs="Times New Roman"/>
                <w:color w:val="000000"/>
              </w:rPr>
              <w:t>2.8</w:t>
            </w:r>
          </w:p>
        </w:tc>
        <w:tc>
          <w:tcPr>
            <w:tcW w:w="711" w:type="pct"/>
            <w:shd w:val="clear" w:color="auto" w:fill="auto"/>
            <w:noWrap/>
            <w:vAlign w:val="bottom"/>
            <w:hideMark/>
          </w:tcPr>
          <w:p w:rsidR="00664D7E" w:rsidRPr="00664D7E" w:rsidRDefault="00664D7E" w:rsidP="00664D7E">
            <w:pPr>
              <w:spacing w:after="0" w:line="240" w:lineRule="auto"/>
              <w:jc w:val="right"/>
              <w:rPr>
                <w:rFonts w:ascii="Calibri" w:eastAsia="Times New Roman" w:hAnsi="Calibri" w:cs="Times New Roman"/>
                <w:color w:val="000000"/>
              </w:rPr>
            </w:pPr>
            <w:r w:rsidRPr="00664D7E">
              <w:rPr>
                <w:rFonts w:ascii="Calibri" w:eastAsia="Times New Roman" w:hAnsi="Calibri" w:cs="Times New Roman"/>
                <w:color w:val="000000"/>
              </w:rPr>
              <w:t>36</w:t>
            </w:r>
          </w:p>
        </w:tc>
      </w:tr>
      <w:tr w:rsidR="00664D7E" w:rsidRPr="00664D7E" w:rsidTr="00587232">
        <w:trPr>
          <w:trHeight w:val="300"/>
        </w:trPr>
        <w:tc>
          <w:tcPr>
            <w:tcW w:w="1819" w:type="pct"/>
            <w:shd w:val="clear" w:color="auto" w:fill="auto"/>
            <w:noWrap/>
            <w:vAlign w:val="bottom"/>
            <w:hideMark/>
          </w:tcPr>
          <w:p w:rsidR="00664D7E" w:rsidRPr="00664D7E" w:rsidRDefault="00664D7E" w:rsidP="00664D7E">
            <w:pPr>
              <w:spacing w:after="0" w:line="240" w:lineRule="auto"/>
              <w:rPr>
                <w:rFonts w:ascii="Calibri" w:eastAsia="Times New Roman" w:hAnsi="Calibri" w:cs="Times New Roman"/>
                <w:color w:val="000000"/>
              </w:rPr>
            </w:pPr>
          </w:p>
        </w:tc>
        <w:tc>
          <w:tcPr>
            <w:tcW w:w="1374" w:type="pct"/>
            <w:shd w:val="clear" w:color="auto" w:fill="auto"/>
            <w:noWrap/>
            <w:vAlign w:val="bottom"/>
            <w:hideMark/>
          </w:tcPr>
          <w:p w:rsidR="00664D7E" w:rsidRPr="00664D7E" w:rsidRDefault="00664D7E" w:rsidP="00664D7E">
            <w:pPr>
              <w:spacing w:after="0" w:line="240" w:lineRule="auto"/>
              <w:rPr>
                <w:rFonts w:ascii="Calibri" w:eastAsia="Times New Roman" w:hAnsi="Calibri" w:cs="Times New Roman"/>
                <w:color w:val="000000"/>
              </w:rPr>
            </w:pPr>
            <w:r w:rsidRPr="00664D7E">
              <w:rPr>
                <w:rFonts w:ascii="Calibri" w:eastAsia="Times New Roman" w:hAnsi="Calibri" w:cs="Times New Roman"/>
                <w:color w:val="000000"/>
              </w:rPr>
              <w:t>Viewed rhyne</w:t>
            </w:r>
          </w:p>
        </w:tc>
        <w:tc>
          <w:tcPr>
            <w:tcW w:w="1096" w:type="pct"/>
            <w:shd w:val="clear" w:color="auto" w:fill="auto"/>
            <w:noWrap/>
            <w:vAlign w:val="bottom"/>
            <w:hideMark/>
          </w:tcPr>
          <w:p w:rsidR="00664D7E" w:rsidRPr="00664D7E" w:rsidRDefault="00664D7E" w:rsidP="00664D7E">
            <w:pPr>
              <w:spacing w:after="0" w:line="240" w:lineRule="auto"/>
              <w:jc w:val="right"/>
              <w:rPr>
                <w:rFonts w:ascii="Calibri" w:eastAsia="Times New Roman" w:hAnsi="Calibri" w:cs="Times New Roman"/>
                <w:color w:val="000000"/>
              </w:rPr>
            </w:pPr>
            <w:r w:rsidRPr="00664D7E">
              <w:rPr>
                <w:rFonts w:ascii="Calibri" w:eastAsia="Times New Roman" w:hAnsi="Calibri" w:cs="Times New Roman"/>
                <w:color w:val="000000"/>
              </w:rPr>
              <w:t>3.5</w:t>
            </w:r>
          </w:p>
        </w:tc>
        <w:tc>
          <w:tcPr>
            <w:tcW w:w="711" w:type="pct"/>
            <w:shd w:val="clear" w:color="auto" w:fill="auto"/>
            <w:noWrap/>
            <w:vAlign w:val="bottom"/>
            <w:hideMark/>
          </w:tcPr>
          <w:p w:rsidR="00664D7E" w:rsidRPr="00664D7E" w:rsidRDefault="00664D7E" w:rsidP="00664D7E">
            <w:pPr>
              <w:spacing w:after="0" w:line="240" w:lineRule="auto"/>
              <w:jc w:val="right"/>
              <w:rPr>
                <w:rFonts w:ascii="Calibri" w:eastAsia="Times New Roman" w:hAnsi="Calibri" w:cs="Times New Roman"/>
                <w:color w:val="000000"/>
              </w:rPr>
            </w:pPr>
            <w:r w:rsidRPr="00664D7E">
              <w:rPr>
                <w:rFonts w:ascii="Calibri" w:eastAsia="Times New Roman" w:hAnsi="Calibri" w:cs="Times New Roman"/>
                <w:color w:val="000000"/>
              </w:rPr>
              <w:t>18</w:t>
            </w:r>
          </w:p>
        </w:tc>
      </w:tr>
      <w:tr w:rsidR="00664D7E" w:rsidRPr="00664D7E" w:rsidTr="00587232">
        <w:trPr>
          <w:trHeight w:val="300"/>
        </w:trPr>
        <w:tc>
          <w:tcPr>
            <w:tcW w:w="1819" w:type="pct"/>
            <w:shd w:val="clear" w:color="auto" w:fill="auto"/>
            <w:noWrap/>
            <w:vAlign w:val="bottom"/>
            <w:hideMark/>
          </w:tcPr>
          <w:p w:rsidR="00664D7E" w:rsidRPr="00664D7E" w:rsidRDefault="00664D7E" w:rsidP="00664D7E">
            <w:pPr>
              <w:spacing w:after="0" w:line="240" w:lineRule="auto"/>
              <w:rPr>
                <w:rFonts w:ascii="Calibri" w:eastAsia="Times New Roman" w:hAnsi="Calibri" w:cs="Times New Roman"/>
                <w:color w:val="000000"/>
              </w:rPr>
            </w:pPr>
          </w:p>
        </w:tc>
        <w:tc>
          <w:tcPr>
            <w:tcW w:w="1374" w:type="pct"/>
            <w:shd w:val="clear" w:color="auto" w:fill="auto"/>
            <w:noWrap/>
            <w:vAlign w:val="bottom"/>
            <w:hideMark/>
          </w:tcPr>
          <w:p w:rsidR="00664D7E" w:rsidRPr="00664D7E" w:rsidRDefault="00664D7E" w:rsidP="00664D7E">
            <w:pPr>
              <w:spacing w:after="0" w:line="240" w:lineRule="auto"/>
              <w:rPr>
                <w:rFonts w:ascii="Calibri" w:eastAsia="Times New Roman" w:hAnsi="Calibri" w:cs="Times New Roman"/>
                <w:color w:val="000000"/>
              </w:rPr>
            </w:pPr>
            <w:r w:rsidRPr="00664D7E">
              <w:rPr>
                <w:rFonts w:ascii="Calibri" w:eastAsia="Times New Roman" w:hAnsi="Calibri" w:cs="Times New Roman"/>
                <w:color w:val="000000"/>
              </w:rPr>
              <w:t>Main river</w:t>
            </w:r>
          </w:p>
        </w:tc>
        <w:tc>
          <w:tcPr>
            <w:tcW w:w="1096" w:type="pct"/>
            <w:shd w:val="clear" w:color="auto" w:fill="auto"/>
            <w:noWrap/>
            <w:vAlign w:val="bottom"/>
            <w:hideMark/>
          </w:tcPr>
          <w:p w:rsidR="00664D7E" w:rsidRPr="00664D7E" w:rsidRDefault="00664D7E" w:rsidP="00664D7E">
            <w:pPr>
              <w:spacing w:after="0" w:line="240" w:lineRule="auto"/>
              <w:jc w:val="right"/>
              <w:rPr>
                <w:rFonts w:ascii="Calibri" w:eastAsia="Times New Roman" w:hAnsi="Calibri" w:cs="Times New Roman"/>
                <w:color w:val="000000"/>
              </w:rPr>
            </w:pPr>
            <w:r w:rsidRPr="00664D7E">
              <w:rPr>
                <w:rFonts w:ascii="Calibri" w:eastAsia="Times New Roman" w:hAnsi="Calibri" w:cs="Times New Roman"/>
                <w:color w:val="000000"/>
              </w:rPr>
              <w:t>5.6</w:t>
            </w:r>
          </w:p>
        </w:tc>
        <w:tc>
          <w:tcPr>
            <w:tcW w:w="711" w:type="pct"/>
            <w:shd w:val="clear" w:color="auto" w:fill="auto"/>
            <w:noWrap/>
            <w:vAlign w:val="bottom"/>
            <w:hideMark/>
          </w:tcPr>
          <w:p w:rsidR="00664D7E" w:rsidRPr="00664D7E" w:rsidRDefault="00664D7E" w:rsidP="00664D7E">
            <w:pPr>
              <w:spacing w:after="0" w:line="240" w:lineRule="auto"/>
              <w:jc w:val="right"/>
              <w:rPr>
                <w:rFonts w:ascii="Calibri" w:eastAsia="Times New Roman" w:hAnsi="Calibri" w:cs="Times New Roman"/>
                <w:color w:val="000000"/>
              </w:rPr>
            </w:pPr>
            <w:r w:rsidRPr="00664D7E">
              <w:rPr>
                <w:rFonts w:ascii="Calibri" w:eastAsia="Times New Roman" w:hAnsi="Calibri" w:cs="Times New Roman"/>
                <w:color w:val="000000"/>
              </w:rPr>
              <w:t>6</w:t>
            </w:r>
          </w:p>
        </w:tc>
      </w:tr>
    </w:tbl>
    <w:p w:rsidR="00587232" w:rsidRDefault="00587232" w:rsidP="00856D43">
      <w:pPr>
        <w:jc w:val="both"/>
        <w:rPr>
          <w:rFonts w:eastAsia="Times New Roman" w:cs="Arial"/>
        </w:rPr>
      </w:pPr>
    </w:p>
    <w:p w:rsidR="00587232" w:rsidRDefault="00587232" w:rsidP="00856D43">
      <w:pPr>
        <w:jc w:val="both"/>
        <w:rPr>
          <w:rFonts w:eastAsia="Times New Roman" w:cs="Arial"/>
        </w:rPr>
      </w:pPr>
      <w:r>
        <w:rPr>
          <w:rFonts w:eastAsia="Times New Roman" w:cs="Arial"/>
        </w:rPr>
        <w:t>For</w:t>
      </w:r>
      <w:r w:rsidRPr="00587232">
        <w:rPr>
          <w:rFonts w:eastAsia="Times New Roman" w:cs="Arial"/>
        </w:rPr>
        <w:t xml:space="preserve"> the purposes of a generalised model,</w:t>
      </w:r>
      <w:r>
        <w:rPr>
          <w:rFonts w:eastAsia="Times New Roman" w:cs="Arial"/>
        </w:rPr>
        <w:t xml:space="preserve"> it was felt that</w:t>
      </w:r>
      <w:r w:rsidRPr="00587232">
        <w:rPr>
          <w:rFonts w:eastAsia="Times New Roman" w:cs="Arial"/>
        </w:rPr>
        <w:t xml:space="preserve"> 3.0</w:t>
      </w:r>
      <w:r>
        <w:rPr>
          <w:rFonts w:eastAsia="Times New Roman" w:cs="Arial"/>
        </w:rPr>
        <w:t xml:space="preserve"> </w:t>
      </w:r>
      <w:r w:rsidRPr="00587232">
        <w:rPr>
          <w:rFonts w:eastAsia="Times New Roman" w:cs="Arial"/>
        </w:rPr>
        <w:t>m widths for ordinary watercourses, 3.5</w:t>
      </w:r>
      <w:r>
        <w:rPr>
          <w:rFonts w:eastAsia="Times New Roman" w:cs="Arial"/>
        </w:rPr>
        <w:t xml:space="preserve"> </w:t>
      </w:r>
      <w:r w:rsidRPr="00587232">
        <w:rPr>
          <w:rFonts w:eastAsia="Times New Roman" w:cs="Arial"/>
        </w:rPr>
        <w:t xml:space="preserve">m </w:t>
      </w:r>
      <w:r w:rsidR="00701E48">
        <w:rPr>
          <w:rFonts w:eastAsia="Times New Roman" w:cs="Arial"/>
        </w:rPr>
        <w:t xml:space="preserve">widths </w:t>
      </w:r>
      <w:r w:rsidRPr="00587232">
        <w:rPr>
          <w:rFonts w:eastAsia="Times New Roman" w:cs="Arial"/>
        </w:rPr>
        <w:t xml:space="preserve">for viewed rhynes, </w:t>
      </w:r>
      <w:r>
        <w:rPr>
          <w:rFonts w:eastAsia="Times New Roman" w:cs="Arial"/>
        </w:rPr>
        <w:t xml:space="preserve">and 6 m widths for main rivers were reasonable estimates (Brewin, </w:t>
      </w:r>
      <w:r>
        <w:rPr>
          <w:rFonts w:eastAsia="Times New Roman" w:cs="Arial"/>
          <w:i/>
        </w:rPr>
        <w:t>pers. comm.)</w:t>
      </w:r>
      <w:r>
        <w:rPr>
          <w:rFonts w:eastAsia="Times New Roman" w:cs="Arial"/>
        </w:rPr>
        <w:t xml:space="preserve">. </w:t>
      </w:r>
    </w:p>
    <w:p w:rsidR="00876C08" w:rsidRDefault="00876C08" w:rsidP="00856D43">
      <w:pPr>
        <w:jc w:val="both"/>
      </w:pPr>
      <w:r>
        <w:rPr>
          <w:rFonts w:eastAsia="Times New Roman" w:cs="Arial"/>
        </w:rPr>
        <w:t xml:space="preserve">The available depth of </w:t>
      </w:r>
      <w:r w:rsidR="00357A83">
        <w:rPr>
          <w:rFonts w:eastAsia="Times New Roman" w:cs="Arial"/>
        </w:rPr>
        <w:t xml:space="preserve">water </w:t>
      </w:r>
      <w:r>
        <w:rPr>
          <w:rFonts w:eastAsia="Times New Roman" w:cs="Arial"/>
        </w:rPr>
        <w:t>storage</w:t>
      </w:r>
      <w:r w:rsidR="00357A83">
        <w:rPr>
          <w:rFonts w:eastAsia="Times New Roman" w:cs="Arial"/>
        </w:rPr>
        <w:t xml:space="preserve"> varies between WLMP area and RWLA.</w:t>
      </w:r>
      <w:r>
        <w:rPr>
          <w:rFonts w:eastAsia="Times New Roman" w:cs="Arial"/>
        </w:rPr>
        <w:t xml:space="preserve"> The</w:t>
      </w:r>
      <w:r w:rsidR="00357A83">
        <w:rPr>
          <w:rFonts w:eastAsia="Times New Roman" w:cs="Arial"/>
        </w:rPr>
        <w:t xml:space="preserve"> RWLAs follow the </w:t>
      </w:r>
      <w:r>
        <w:rPr>
          <w:rFonts w:eastAsia="Times New Roman" w:cs="Arial"/>
        </w:rPr>
        <w:t xml:space="preserve"> Tier 3 water level management prescriptions</w:t>
      </w:r>
      <w:r w:rsidR="00357A83">
        <w:rPr>
          <w:rFonts w:eastAsia="Times New Roman" w:cs="Arial"/>
        </w:rPr>
        <w:t xml:space="preserve"> with a </w:t>
      </w:r>
      <w:r>
        <w:rPr>
          <w:rFonts w:eastAsia="Times New Roman" w:cs="Arial"/>
        </w:rPr>
        <w:t xml:space="preserve">summer </w:t>
      </w:r>
      <w:r w:rsidR="00A47285">
        <w:rPr>
          <w:rFonts w:eastAsia="Times New Roman" w:cs="Arial"/>
        </w:rPr>
        <w:t xml:space="preserve">pen </w:t>
      </w:r>
      <w:r>
        <w:rPr>
          <w:rFonts w:eastAsia="Times New Roman" w:cs="Arial"/>
        </w:rPr>
        <w:t xml:space="preserve">of not more than 0.3 m and a </w:t>
      </w:r>
      <w:r w:rsidR="00A61735">
        <w:rPr>
          <w:rFonts w:eastAsia="Times New Roman" w:cs="Arial"/>
        </w:rPr>
        <w:t>winter</w:t>
      </w:r>
      <w:r>
        <w:rPr>
          <w:rFonts w:eastAsia="Times New Roman" w:cs="Arial"/>
        </w:rPr>
        <w:t xml:space="preserve"> </w:t>
      </w:r>
      <w:r w:rsidR="00A47285">
        <w:rPr>
          <w:rFonts w:eastAsia="Times New Roman" w:cs="Arial"/>
        </w:rPr>
        <w:t xml:space="preserve">pen </w:t>
      </w:r>
      <w:r>
        <w:rPr>
          <w:rFonts w:eastAsia="Times New Roman" w:cs="Arial"/>
        </w:rPr>
        <w:t xml:space="preserve">of 0 m. The </w:t>
      </w:r>
      <w:r w:rsidR="00357A83">
        <w:rPr>
          <w:rFonts w:eastAsia="Times New Roman" w:cs="Arial"/>
        </w:rPr>
        <w:t xml:space="preserve">WLMP </w:t>
      </w:r>
      <w:r>
        <w:rPr>
          <w:rFonts w:eastAsia="Times New Roman" w:cs="Arial"/>
        </w:rPr>
        <w:t>non-Tier 3 m</w:t>
      </w:r>
      <w:r w:rsidR="00357A83">
        <w:rPr>
          <w:rFonts w:eastAsia="Times New Roman" w:cs="Arial"/>
        </w:rPr>
        <w:t>anagement areas have winter</w:t>
      </w:r>
      <w:r>
        <w:rPr>
          <w:rFonts w:eastAsia="Times New Roman" w:cs="Arial"/>
        </w:rPr>
        <w:t xml:space="preserve"> </w:t>
      </w:r>
      <w:r w:rsidR="00A47285">
        <w:rPr>
          <w:rFonts w:eastAsia="Times New Roman" w:cs="Arial"/>
        </w:rPr>
        <w:t xml:space="preserve">pen </w:t>
      </w:r>
      <w:r>
        <w:rPr>
          <w:rFonts w:eastAsia="Times New Roman" w:cs="Arial"/>
        </w:rPr>
        <w:t xml:space="preserve">levels on </w:t>
      </w:r>
      <w:r w:rsidR="00A47285">
        <w:t>average 0.6</w:t>
      </w:r>
      <w:r>
        <w:t xml:space="preserve"> m below the soi</w:t>
      </w:r>
      <w:r w:rsidR="00A47285">
        <w:t>l surface, and summer pen levels of 0.3 m below the soil surface</w:t>
      </w:r>
      <w:r w:rsidR="00A47285">
        <w:rPr>
          <w:b/>
        </w:rPr>
        <w:t xml:space="preserve">. </w:t>
      </w:r>
      <w:r w:rsidR="00A47285">
        <w:t>It is acknowledged that these levels will vary between si</w:t>
      </w:r>
      <w:r w:rsidR="00357A83">
        <w:t>tes, but they represent a reliable</w:t>
      </w:r>
      <w:r w:rsidR="00A47285">
        <w:t xml:space="preserve"> average for the study area. The </w:t>
      </w:r>
      <w:r w:rsidR="00541AF2">
        <w:t>numbers are summarised</w:t>
      </w:r>
      <w:r w:rsidR="00E74739">
        <w:t xml:space="preserve"> below </w:t>
      </w:r>
      <w:r w:rsidR="00541AF2">
        <w:t xml:space="preserve">in table </w:t>
      </w:r>
      <w:r w:rsidR="009F5D32">
        <w:t>6</w:t>
      </w:r>
      <w:r w:rsidR="00E74739">
        <w:t>.</w:t>
      </w:r>
    </w:p>
    <w:p w:rsidR="00A47285" w:rsidRPr="00A47285" w:rsidRDefault="00E74739" w:rsidP="00A47285">
      <w:pPr>
        <w:pStyle w:val="Caption"/>
        <w:keepNext/>
        <w:rPr>
          <w:b w:val="0"/>
          <w:color w:val="auto"/>
          <w:sz w:val="22"/>
          <w:szCs w:val="22"/>
        </w:rPr>
      </w:pPr>
      <w:r w:rsidRPr="00E74739">
        <w:rPr>
          <w:b w:val="0"/>
          <w:color w:val="auto"/>
          <w:sz w:val="22"/>
          <w:szCs w:val="22"/>
        </w:rPr>
        <w:t xml:space="preserve">Table </w:t>
      </w:r>
      <w:r w:rsidR="00251534" w:rsidRPr="00E74739">
        <w:rPr>
          <w:b w:val="0"/>
          <w:color w:val="auto"/>
          <w:sz w:val="22"/>
          <w:szCs w:val="22"/>
        </w:rPr>
        <w:fldChar w:fldCharType="begin"/>
      </w:r>
      <w:r w:rsidRPr="00E74739">
        <w:rPr>
          <w:b w:val="0"/>
          <w:color w:val="auto"/>
          <w:sz w:val="22"/>
          <w:szCs w:val="22"/>
        </w:rPr>
        <w:instrText xml:space="preserve"> SEQ Table \* ARABIC </w:instrText>
      </w:r>
      <w:r w:rsidR="00251534" w:rsidRPr="00E74739">
        <w:rPr>
          <w:b w:val="0"/>
          <w:color w:val="auto"/>
          <w:sz w:val="22"/>
          <w:szCs w:val="22"/>
        </w:rPr>
        <w:fldChar w:fldCharType="separate"/>
      </w:r>
      <w:r w:rsidR="000E193B">
        <w:rPr>
          <w:b w:val="0"/>
          <w:noProof/>
          <w:color w:val="auto"/>
          <w:sz w:val="22"/>
          <w:szCs w:val="22"/>
        </w:rPr>
        <w:t>6</w:t>
      </w:r>
      <w:r w:rsidR="00251534" w:rsidRPr="00E74739">
        <w:rPr>
          <w:b w:val="0"/>
          <w:color w:val="auto"/>
          <w:sz w:val="22"/>
          <w:szCs w:val="22"/>
        </w:rPr>
        <w:fldChar w:fldCharType="end"/>
      </w:r>
      <w:r w:rsidR="00F54328">
        <w:rPr>
          <w:b w:val="0"/>
          <w:color w:val="auto"/>
          <w:sz w:val="22"/>
          <w:szCs w:val="22"/>
        </w:rPr>
        <w:t>.</w:t>
      </w:r>
      <w:r w:rsidRPr="00E74739">
        <w:rPr>
          <w:b w:val="0"/>
          <w:color w:val="auto"/>
          <w:sz w:val="22"/>
          <w:szCs w:val="22"/>
        </w:rPr>
        <w:t xml:space="preserve"> Summary of surface water feature types and corresponding winter and summer water levels</w:t>
      </w:r>
      <w:r w:rsidR="00DA5F29">
        <w:rPr>
          <w:b w:val="0"/>
          <w:color w:val="auto"/>
          <w:sz w:val="22"/>
          <w:szCs w:val="22"/>
        </w:rPr>
        <w:t>.</w:t>
      </w:r>
    </w:p>
    <w:tbl>
      <w:tblPr>
        <w:tblStyle w:val="TableGrid"/>
        <w:tblW w:w="0" w:type="auto"/>
        <w:tblLook w:val="04A0" w:firstRow="1" w:lastRow="0" w:firstColumn="1" w:lastColumn="0" w:noHBand="0" w:noVBand="1"/>
      </w:tblPr>
      <w:tblGrid>
        <w:gridCol w:w="3080"/>
        <w:gridCol w:w="3081"/>
        <w:gridCol w:w="3081"/>
      </w:tblGrid>
      <w:tr w:rsidR="00A47285" w:rsidRPr="00A47285" w:rsidTr="00A47285">
        <w:tc>
          <w:tcPr>
            <w:tcW w:w="3080" w:type="dxa"/>
            <w:vMerge w:val="restart"/>
          </w:tcPr>
          <w:p w:rsidR="00A47285" w:rsidRPr="00A47285" w:rsidRDefault="00A47285"/>
        </w:tc>
        <w:tc>
          <w:tcPr>
            <w:tcW w:w="6162" w:type="dxa"/>
            <w:gridSpan w:val="2"/>
          </w:tcPr>
          <w:p w:rsidR="00A47285" w:rsidRPr="00A47285" w:rsidRDefault="00A47285" w:rsidP="00A47285">
            <w:pPr>
              <w:jc w:val="center"/>
              <w:rPr>
                <w:b/>
              </w:rPr>
            </w:pPr>
            <w:r w:rsidRPr="00A47285">
              <w:rPr>
                <w:b/>
              </w:rPr>
              <w:t>Water level relative to soil surface</w:t>
            </w:r>
          </w:p>
        </w:tc>
      </w:tr>
      <w:tr w:rsidR="00A47285" w:rsidRPr="00A47285" w:rsidTr="00A47285">
        <w:tc>
          <w:tcPr>
            <w:tcW w:w="3080" w:type="dxa"/>
            <w:vMerge/>
          </w:tcPr>
          <w:p w:rsidR="00A47285" w:rsidRPr="00A47285" w:rsidRDefault="00A47285"/>
        </w:tc>
        <w:tc>
          <w:tcPr>
            <w:tcW w:w="3081" w:type="dxa"/>
          </w:tcPr>
          <w:p w:rsidR="00A47285" w:rsidRPr="00A47285" w:rsidRDefault="00A47285" w:rsidP="00A47285">
            <w:pPr>
              <w:jc w:val="center"/>
              <w:rPr>
                <w:b/>
              </w:rPr>
            </w:pPr>
            <w:r w:rsidRPr="00A47285">
              <w:rPr>
                <w:b/>
              </w:rPr>
              <w:t>Summer</w:t>
            </w:r>
          </w:p>
        </w:tc>
        <w:tc>
          <w:tcPr>
            <w:tcW w:w="3081" w:type="dxa"/>
          </w:tcPr>
          <w:p w:rsidR="00A47285" w:rsidRPr="00A47285" w:rsidRDefault="00A47285" w:rsidP="00A47285">
            <w:pPr>
              <w:jc w:val="center"/>
              <w:rPr>
                <w:b/>
              </w:rPr>
            </w:pPr>
            <w:r w:rsidRPr="00A47285">
              <w:rPr>
                <w:b/>
              </w:rPr>
              <w:t>Winter</w:t>
            </w:r>
          </w:p>
        </w:tc>
      </w:tr>
      <w:tr w:rsidR="00A47285" w:rsidRPr="00A47285" w:rsidTr="00A47285">
        <w:tc>
          <w:tcPr>
            <w:tcW w:w="3080" w:type="dxa"/>
          </w:tcPr>
          <w:p w:rsidR="00A47285" w:rsidRPr="00A47285" w:rsidRDefault="00A47285">
            <w:pPr>
              <w:rPr>
                <w:b/>
              </w:rPr>
            </w:pPr>
            <w:r w:rsidRPr="00A47285">
              <w:rPr>
                <w:b/>
              </w:rPr>
              <w:t>WLMP area</w:t>
            </w:r>
          </w:p>
        </w:tc>
        <w:tc>
          <w:tcPr>
            <w:tcW w:w="3081" w:type="dxa"/>
          </w:tcPr>
          <w:p w:rsidR="00A47285" w:rsidRPr="00A47285" w:rsidRDefault="00A47285" w:rsidP="00A47285">
            <w:pPr>
              <w:jc w:val="center"/>
            </w:pPr>
            <w:r w:rsidRPr="00A47285">
              <w:t>-0.3 m</w:t>
            </w:r>
          </w:p>
        </w:tc>
        <w:tc>
          <w:tcPr>
            <w:tcW w:w="3081" w:type="dxa"/>
          </w:tcPr>
          <w:p w:rsidR="00A47285" w:rsidRPr="00A47285" w:rsidRDefault="00A47285" w:rsidP="00A47285">
            <w:pPr>
              <w:jc w:val="center"/>
            </w:pPr>
            <w:r w:rsidRPr="00A47285">
              <w:t>-0.6 m</w:t>
            </w:r>
          </w:p>
        </w:tc>
      </w:tr>
      <w:tr w:rsidR="00A47285" w:rsidRPr="00A47285" w:rsidTr="00A47285">
        <w:tc>
          <w:tcPr>
            <w:tcW w:w="3080" w:type="dxa"/>
          </w:tcPr>
          <w:p w:rsidR="00A47285" w:rsidRPr="00A47285" w:rsidRDefault="00A47285">
            <w:pPr>
              <w:rPr>
                <w:b/>
              </w:rPr>
            </w:pPr>
            <w:r w:rsidRPr="00A47285">
              <w:rPr>
                <w:b/>
              </w:rPr>
              <w:t>RWLA</w:t>
            </w:r>
          </w:p>
        </w:tc>
        <w:tc>
          <w:tcPr>
            <w:tcW w:w="3081" w:type="dxa"/>
          </w:tcPr>
          <w:p w:rsidR="00A47285" w:rsidRPr="00A47285" w:rsidRDefault="00A47285" w:rsidP="00A47285">
            <w:pPr>
              <w:jc w:val="center"/>
            </w:pPr>
            <w:r w:rsidRPr="00A47285">
              <w:t>-0.3 m</w:t>
            </w:r>
          </w:p>
        </w:tc>
        <w:tc>
          <w:tcPr>
            <w:tcW w:w="3081" w:type="dxa"/>
          </w:tcPr>
          <w:p w:rsidR="00A47285" w:rsidRPr="00A47285" w:rsidRDefault="00A47285" w:rsidP="00A47285">
            <w:pPr>
              <w:jc w:val="center"/>
            </w:pPr>
            <w:r w:rsidRPr="00A47285">
              <w:t>0 m</w:t>
            </w:r>
          </w:p>
        </w:tc>
      </w:tr>
    </w:tbl>
    <w:p w:rsidR="00E74739" w:rsidRDefault="00E74739">
      <w:pPr>
        <w:rPr>
          <w:b/>
        </w:rPr>
      </w:pPr>
    </w:p>
    <w:p w:rsidR="00E950FA" w:rsidRDefault="00E950FA">
      <w:pPr>
        <w:rPr>
          <w:rFonts w:asciiTheme="majorHAnsi" w:eastAsiaTheme="majorEastAsia" w:hAnsiTheme="majorHAnsi" w:cstheme="majorBidi"/>
          <w:b/>
          <w:bCs/>
          <w:color w:val="4F81BD" w:themeColor="accent1"/>
          <w:sz w:val="26"/>
          <w:szCs w:val="26"/>
        </w:rPr>
      </w:pPr>
      <w:r>
        <w:br w:type="page"/>
      </w:r>
    </w:p>
    <w:p w:rsidR="00E74739" w:rsidRDefault="00E74739" w:rsidP="00B4335D">
      <w:pPr>
        <w:pStyle w:val="Heading2"/>
        <w:numPr>
          <w:ilvl w:val="0"/>
          <w:numId w:val="16"/>
        </w:numPr>
      </w:pPr>
      <w:bookmarkStart w:id="6" w:name="_Toc402956173"/>
      <w:r w:rsidRPr="00E74739">
        <w:lastRenderedPageBreak/>
        <w:t>Storage component 2: the available vo</w:t>
      </w:r>
      <w:r w:rsidR="00B4335D">
        <w:t>lume in the soil profile</w:t>
      </w:r>
      <w:bookmarkEnd w:id="6"/>
    </w:p>
    <w:p w:rsidR="00B4335D" w:rsidRPr="00B4335D" w:rsidRDefault="00B4335D" w:rsidP="00B4335D"/>
    <w:p w:rsidR="006B1EB9" w:rsidRDefault="00856D43" w:rsidP="006B1EB9">
      <w:pPr>
        <w:jc w:val="both"/>
        <w:rPr>
          <w:rFonts w:cs="AdvP43534B"/>
        </w:rPr>
      </w:pPr>
      <w:r>
        <w:t xml:space="preserve">The organic soils that are exposed at the surface in much of this area are capable of holding </w:t>
      </w:r>
      <w:r w:rsidR="00E74739">
        <w:t xml:space="preserve">large quantities of </w:t>
      </w:r>
      <w:r>
        <w:t>water</w:t>
      </w:r>
      <w:r w:rsidR="00E74739">
        <w:t xml:space="preserve">. </w:t>
      </w:r>
      <w:r w:rsidR="006B1EB9">
        <w:t>Holden (2005) notes that s</w:t>
      </w:r>
      <w:r w:rsidR="006B1EB9" w:rsidRPr="002E35B7">
        <w:rPr>
          <w:rFonts w:cs="AdvP43534B"/>
        </w:rPr>
        <w:t>aturated peat tends to be 90–98% water by mass. Even above the water table (maximum height of the saturated zone), peat can still hold large volumes of water (approximately 90–95% water by mass)</w:t>
      </w:r>
      <w:r w:rsidR="006B1EB9">
        <w:rPr>
          <w:rFonts w:cs="AdvP43534B"/>
        </w:rPr>
        <w:t>.</w:t>
      </w:r>
    </w:p>
    <w:p w:rsidR="00E74739" w:rsidRDefault="00E74739" w:rsidP="00856D43">
      <w:pPr>
        <w:jc w:val="both"/>
      </w:pPr>
      <w:r>
        <w:t>There are two key elements to quantifying the amount of water that can be stored and these are:</w:t>
      </w:r>
    </w:p>
    <w:p w:rsidR="00E74739" w:rsidRDefault="00C52651" w:rsidP="00E74739">
      <w:pPr>
        <w:pStyle w:val="ListParagraph"/>
        <w:numPr>
          <w:ilvl w:val="0"/>
          <w:numId w:val="10"/>
        </w:numPr>
        <w:jc w:val="both"/>
      </w:pPr>
      <w:r>
        <w:t xml:space="preserve">The storage of water in the soil body. This is </w:t>
      </w:r>
      <w:r w:rsidR="00E74739">
        <w:t xml:space="preserve">amount of pore space in the soil body that readily receives and releases water as </w:t>
      </w:r>
      <w:r>
        <w:t>water level conditions change and</w:t>
      </w:r>
    </w:p>
    <w:p w:rsidR="00C52651" w:rsidRDefault="00C52651" w:rsidP="00E74739">
      <w:pPr>
        <w:pStyle w:val="ListParagraph"/>
        <w:numPr>
          <w:ilvl w:val="0"/>
          <w:numId w:val="10"/>
        </w:numPr>
        <w:jc w:val="both"/>
      </w:pPr>
      <w:r w:rsidRPr="00C52651">
        <w:t>The movement of water into</w:t>
      </w:r>
      <w:r>
        <w:t>, through</w:t>
      </w:r>
      <w:r w:rsidRPr="00C52651">
        <w:t xml:space="preserve"> and out of the soil body</w:t>
      </w:r>
      <w:r>
        <w:t>. This deals with the rate at which water moves.</w:t>
      </w:r>
    </w:p>
    <w:p w:rsidR="00E74739" w:rsidRDefault="00C52651" w:rsidP="00856D43">
      <w:pPr>
        <w:jc w:val="both"/>
      </w:pPr>
      <w:r>
        <w:t xml:space="preserve">Together these elements will adequately describe the total potential storage within the soil and the time taken for the full storage potential to be achieved. Each of these is dealt with below. </w:t>
      </w:r>
    </w:p>
    <w:p w:rsidR="00E950FA" w:rsidRDefault="00E950FA" w:rsidP="00856D43">
      <w:pPr>
        <w:jc w:val="both"/>
      </w:pPr>
    </w:p>
    <w:p w:rsidR="00C52651" w:rsidRDefault="00C52651" w:rsidP="00B4335D">
      <w:pPr>
        <w:pStyle w:val="Heading3"/>
        <w:numPr>
          <w:ilvl w:val="1"/>
          <w:numId w:val="16"/>
        </w:numPr>
      </w:pPr>
      <w:bookmarkStart w:id="7" w:name="_Toc402956174"/>
      <w:r>
        <w:t>The storage of water in the soil body</w:t>
      </w:r>
      <w:bookmarkEnd w:id="7"/>
    </w:p>
    <w:p w:rsidR="00B4335D" w:rsidRPr="00B4335D" w:rsidRDefault="00B4335D" w:rsidP="00B4335D"/>
    <w:p w:rsidR="00C52651" w:rsidRDefault="00C52651" w:rsidP="00C52651">
      <w:r>
        <w:t xml:space="preserve">In describing the volume of water that can be stored in a body of soil, it is important to first define some commonly used terms. These are described and illustrated </w:t>
      </w:r>
      <w:r w:rsidR="006621A1">
        <w:t>below.</w:t>
      </w:r>
    </w:p>
    <w:p w:rsidR="006621A1" w:rsidRDefault="00531357" w:rsidP="006621A1">
      <w:pPr>
        <w:keepNext/>
      </w:pPr>
      <w:r>
        <w:rPr>
          <w:noProof/>
        </w:rPr>
        <w:drawing>
          <wp:inline distT="0" distB="0" distL="0" distR="0">
            <wp:extent cx="5731510" cy="2602865"/>
            <wp:effectExtent l="19050" t="0" r="2540" b="0"/>
            <wp:docPr id="16" name="Picture 15" descr="Combined Porosity 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 Porosity Images.png"/>
                    <pic:cNvPicPr/>
                  </pic:nvPicPr>
                  <pic:blipFill>
                    <a:blip r:embed="rId18" cstate="email">
                      <a:extLst>
                        <a:ext uri="{28A0092B-C50C-407E-A947-70E740481C1C}">
                          <a14:useLocalDpi xmlns:a14="http://schemas.microsoft.com/office/drawing/2010/main"/>
                        </a:ext>
                      </a:extLst>
                    </a:blip>
                    <a:stretch>
                      <a:fillRect/>
                    </a:stretch>
                  </pic:blipFill>
                  <pic:spPr>
                    <a:xfrm>
                      <a:off x="0" y="0"/>
                      <a:ext cx="5731510" cy="2602865"/>
                    </a:xfrm>
                    <a:prstGeom prst="rect">
                      <a:avLst/>
                    </a:prstGeom>
                  </pic:spPr>
                </pic:pic>
              </a:graphicData>
            </a:graphic>
          </wp:inline>
        </w:drawing>
      </w:r>
    </w:p>
    <w:p w:rsidR="006621A1" w:rsidRPr="00A106D0" w:rsidRDefault="006621A1" w:rsidP="006621A1">
      <w:pPr>
        <w:pStyle w:val="Caption"/>
        <w:rPr>
          <w:b w:val="0"/>
          <w:color w:val="auto"/>
          <w:sz w:val="22"/>
          <w:szCs w:val="22"/>
        </w:rPr>
      </w:pPr>
      <w:r w:rsidRPr="00A106D0">
        <w:rPr>
          <w:b w:val="0"/>
          <w:color w:val="auto"/>
          <w:sz w:val="22"/>
          <w:szCs w:val="22"/>
        </w:rPr>
        <w:t xml:space="preserve">Figure </w:t>
      </w:r>
      <w:r w:rsidR="00251534" w:rsidRPr="00A106D0">
        <w:rPr>
          <w:b w:val="0"/>
          <w:color w:val="auto"/>
          <w:sz w:val="22"/>
          <w:szCs w:val="22"/>
        </w:rPr>
        <w:fldChar w:fldCharType="begin"/>
      </w:r>
      <w:r w:rsidRPr="00A106D0">
        <w:rPr>
          <w:b w:val="0"/>
          <w:color w:val="auto"/>
          <w:sz w:val="22"/>
          <w:szCs w:val="22"/>
        </w:rPr>
        <w:instrText xml:space="preserve"> SEQ Figure \* ARABIC </w:instrText>
      </w:r>
      <w:r w:rsidR="00251534" w:rsidRPr="00A106D0">
        <w:rPr>
          <w:b w:val="0"/>
          <w:color w:val="auto"/>
          <w:sz w:val="22"/>
          <w:szCs w:val="22"/>
        </w:rPr>
        <w:fldChar w:fldCharType="separate"/>
      </w:r>
      <w:r w:rsidR="000E193B">
        <w:rPr>
          <w:b w:val="0"/>
          <w:noProof/>
          <w:color w:val="auto"/>
          <w:sz w:val="22"/>
          <w:szCs w:val="22"/>
        </w:rPr>
        <w:t>6</w:t>
      </w:r>
      <w:r w:rsidR="00251534" w:rsidRPr="00A106D0">
        <w:rPr>
          <w:b w:val="0"/>
          <w:color w:val="auto"/>
          <w:sz w:val="22"/>
          <w:szCs w:val="22"/>
        </w:rPr>
        <w:fldChar w:fldCharType="end"/>
      </w:r>
      <w:r w:rsidRPr="00A106D0">
        <w:rPr>
          <w:b w:val="0"/>
          <w:color w:val="auto"/>
          <w:sz w:val="22"/>
          <w:szCs w:val="22"/>
        </w:rPr>
        <w:t xml:space="preserve"> Illustration of </w:t>
      </w:r>
      <w:r w:rsidR="00531357">
        <w:rPr>
          <w:b w:val="0"/>
          <w:color w:val="auto"/>
          <w:sz w:val="22"/>
          <w:szCs w:val="22"/>
        </w:rPr>
        <w:t xml:space="preserve">total </w:t>
      </w:r>
      <w:r w:rsidRPr="00A106D0">
        <w:rPr>
          <w:b w:val="0"/>
          <w:color w:val="auto"/>
          <w:sz w:val="22"/>
          <w:szCs w:val="22"/>
        </w:rPr>
        <w:t>porosity</w:t>
      </w:r>
      <w:r w:rsidR="00531357">
        <w:rPr>
          <w:b w:val="0"/>
          <w:color w:val="auto"/>
          <w:sz w:val="22"/>
          <w:szCs w:val="22"/>
        </w:rPr>
        <w:t xml:space="preserve"> (left)</w:t>
      </w:r>
      <w:r w:rsidRPr="00A106D0">
        <w:rPr>
          <w:b w:val="0"/>
          <w:color w:val="auto"/>
          <w:sz w:val="22"/>
          <w:szCs w:val="22"/>
        </w:rPr>
        <w:t xml:space="preserve">, effective porosity </w:t>
      </w:r>
      <w:r w:rsidR="00531357">
        <w:rPr>
          <w:b w:val="0"/>
          <w:color w:val="auto"/>
          <w:sz w:val="22"/>
          <w:szCs w:val="22"/>
        </w:rPr>
        <w:t xml:space="preserve">(middle) </w:t>
      </w:r>
      <w:r w:rsidRPr="00A106D0">
        <w:rPr>
          <w:b w:val="0"/>
          <w:color w:val="auto"/>
          <w:sz w:val="22"/>
          <w:szCs w:val="22"/>
        </w:rPr>
        <w:t>and drainable porosity</w:t>
      </w:r>
      <w:r>
        <w:rPr>
          <w:b w:val="0"/>
          <w:color w:val="auto"/>
          <w:sz w:val="22"/>
          <w:szCs w:val="22"/>
        </w:rPr>
        <w:t xml:space="preserve"> </w:t>
      </w:r>
      <w:r w:rsidR="00531357">
        <w:rPr>
          <w:b w:val="0"/>
          <w:color w:val="auto"/>
          <w:sz w:val="22"/>
          <w:szCs w:val="22"/>
        </w:rPr>
        <w:t>(right)</w:t>
      </w:r>
      <w:r w:rsidRPr="00A106D0">
        <w:rPr>
          <w:b w:val="0"/>
          <w:color w:val="auto"/>
          <w:sz w:val="22"/>
          <w:szCs w:val="22"/>
        </w:rPr>
        <w:t>.</w:t>
      </w:r>
      <w:r w:rsidR="00531357">
        <w:rPr>
          <w:b w:val="0"/>
          <w:color w:val="auto"/>
          <w:sz w:val="22"/>
          <w:szCs w:val="22"/>
        </w:rPr>
        <w:t xml:space="preserve"> Light brown shading indicates soil particles, light blue shading is water, and white is empty pore space.</w:t>
      </w:r>
      <w:r w:rsidR="00A24710">
        <w:rPr>
          <w:b w:val="0"/>
          <w:color w:val="auto"/>
          <w:sz w:val="22"/>
          <w:szCs w:val="22"/>
        </w:rPr>
        <w:t xml:space="preserve"> </w:t>
      </w:r>
    </w:p>
    <w:p w:rsidR="00C52651" w:rsidRDefault="00C52651" w:rsidP="00C52651">
      <w:pPr>
        <w:jc w:val="both"/>
      </w:pPr>
      <w:r>
        <w:tab/>
      </w:r>
      <w:r w:rsidR="00531357" w:rsidRPr="00531357">
        <w:rPr>
          <w:i/>
        </w:rPr>
        <w:t>Total p</w:t>
      </w:r>
      <w:r>
        <w:rPr>
          <w:i/>
        </w:rPr>
        <w:t xml:space="preserve">orosity. </w:t>
      </w:r>
      <w:r>
        <w:t xml:space="preserve">This is a measure of the amount of open space in the soil and is typically given as a percentage calculated by dividing the volume of pores in the sample by the total volume of the sample (Hillel, 1998). The </w:t>
      </w:r>
      <w:r>
        <w:rPr>
          <w:i/>
        </w:rPr>
        <w:t>Porosity</w:t>
      </w:r>
      <w:r>
        <w:t xml:space="preserve"> tells us nothing about how well connected those pores are and it </w:t>
      </w:r>
      <w:r>
        <w:lastRenderedPageBreak/>
        <w:t xml:space="preserve">is possible to have a substance with high porosity but which if submerged will only accommodate a small volume of water. They may also have a relatively low permeability (e.g. pumice). </w:t>
      </w:r>
    </w:p>
    <w:p w:rsidR="00C52651" w:rsidRDefault="00C52651" w:rsidP="00C52651">
      <w:pPr>
        <w:jc w:val="both"/>
      </w:pPr>
      <w:r>
        <w:tab/>
      </w:r>
      <w:r>
        <w:rPr>
          <w:i/>
        </w:rPr>
        <w:t>Effective Porosity</w:t>
      </w:r>
      <w:r>
        <w:t xml:space="preserve">. This describes the amount of interconnected pore space and is defined as the porosity available for fluid flow (Fetter, 1994). </w:t>
      </w:r>
    </w:p>
    <w:p w:rsidR="00C52651" w:rsidRPr="005551B9" w:rsidRDefault="00C52651" w:rsidP="006621A1">
      <w:pPr>
        <w:jc w:val="both"/>
        <w:rPr>
          <w:b/>
        </w:rPr>
      </w:pPr>
      <w:r>
        <w:tab/>
      </w:r>
      <w:r>
        <w:rPr>
          <w:i/>
        </w:rPr>
        <w:t>Drainable Porosity (</w:t>
      </w:r>
      <w:r w:rsidR="009B0D59">
        <w:rPr>
          <w:i/>
        </w:rPr>
        <w:t xml:space="preserve">generally used interchangeably with the term </w:t>
      </w:r>
      <w:r>
        <w:rPr>
          <w:i/>
        </w:rPr>
        <w:t>Specific Yield).</w:t>
      </w:r>
      <w:r>
        <w:t xml:space="preserve"> This is the ratio of the volume of water that drains from a saturated rock </w:t>
      </w:r>
      <w:r w:rsidR="0038313E">
        <w:t xml:space="preserve">or soil </w:t>
      </w:r>
      <w:r>
        <w:t xml:space="preserve">owing to the attraction of gravity to the total volume of the rock (Meinzer, 1923). This value is generally less than or equal to the </w:t>
      </w:r>
      <w:r>
        <w:rPr>
          <w:i/>
        </w:rPr>
        <w:t>effective porosity</w:t>
      </w:r>
      <w:r>
        <w:t xml:space="preserve">. </w:t>
      </w:r>
      <w:r w:rsidR="006621A1">
        <w:t xml:space="preserve">It is described by Beavan </w:t>
      </w:r>
      <w:r w:rsidR="006621A1">
        <w:rPr>
          <w:i/>
        </w:rPr>
        <w:t>et al.</w:t>
      </w:r>
      <w:r w:rsidR="000413DC">
        <w:rPr>
          <w:i/>
        </w:rPr>
        <w:t xml:space="preserve"> </w:t>
      </w:r>
      <w:r w:rsidR="000413DC" w:rsidRPr="000413DC">
        <w:t>(2008)</w:t>
      </w:r>
      <w:r w:rsidR="006621A1" w:rsidRPr="000413DC">
        <w:t>;</w:t>
      </w:r>
      <w:r w:rsidR="006621A1">
        <w:rPr>
          <w:i/>
        </w:rPr>
        <w:t xml:space="preserve"> </w:t>
      </w:r>
      <w:r w:rsidR="006621A1">
        <w:t>‘If a fully saturated waste material is allowed to drain under gravity, its water content will decrease as drainable pores empty. It will eventually reach a state (termed the field capacity) when no further drainage occurs. The amount of freely draining water per unit volume of waste defines the drainable porosity. The drainable porosity is given by the difference between the saturated volumetric water content and the volumetric field capacity. The drainable porosity is the same as the specific yield, which is well established in the hydrogeology literature as the amount of liquid that will drain from a unit volume of soil following a unit reduction in the water table level.</w:t>
      </w:r>
    </w:p>
    <w:p w:rsidR="00C52651" w:rsidRDefault="00C52651" w:rsidP="00C52651">
      <w:pPr>
        <w:jc w:val="both"/>
      </w:pPr>
      <w:r>
        <w:t xml:space="preserve">In order to determine the volume of water that would be stored in a body of soil, drainable porosity is the most relevant property to measure. With the question established as ‘how much water can be stored in the soil body’, the answer is </w:t>
      </w:r>
      <w:r w:rsidR="000413DC">
        <w:t>‘</w:t>
      </w:r>
      <w:r>
        <w:t>the depth of soil above the water table multiplied by the drainable porosity</w:t>
      </w:r>
      <w:r w:rsidR="000413DC">
        <w:t>’</w:t>
      </w:r>
      <w:r>
        <w:t xml:space="preserve">. This will give a value as depth of water per unit area that can then be applied to areas where depth of soil above the water table is known. </w:t>
      </w:r>
    </w:p>
    <w:p w:rsidR="00B4335D" w:rsidRDefault="00C52651" w:rsidP="00B4335D">
      <w:pPr>
        <w:jc w:val="both"/>
      </w:pPr>
      <w:r>
        <w:t>To illustrate; if a soil body has a water table at 1 m below the surface (i.e. 1 m thickness of unsaturated soil sitting above the water table), and a drainable porosity of 0.1, it will be able to accommodate a total of 0.1 m of water before the water table is at the surface. To put the same example in terms of area, a field of dimensions 10 m by 10 m with a water table 1 m below the surface, will have 100 m</w:t>
      </w:r>
      <w:r>
        <w:rPr>
          <w:vertAlign w:val="superscript"/>
        </w:rPr>
        <w:t>3</w:t>
      </w:r>
      <w:r>
        <w:t xml:space="preserve"> of unsaturated soil sitting above the water table. If the drainable porosity is 0.1, it will be able to store 10 m</w:t>
      </w:r>
      <w:r>
        <w:rPr>
          <w:vertAlign w:val="superscript"/>
        </w:rPr>
        <w:t>3</w:t>
      </w:r>
      <w:r>
        <w:t xml:space="preserve"> of water before being saturated and the wa</w:t>
      </w:r>
      <w:r w:rsidR="006621A1">
        <w:t xml:space="preserve">ter table reaches the surface. </w:t>
      </w:r>
    </w:p>
    <w:p w:rsidR="00E950FA" w:rsidRDefault="00E950FA" w:rsidP="00B4335D">
      <w:pPr>
        <w:jc w:val="both"/>
      </w:pPr>
    </w:p>
    <w:p w:rsidR="00BB43E2" w:rsidRDefault="00BB43E2" w:rsidP="00B4335D">
      <w:pPr>
        <w:pStyle w:val="Heading3"/>
        <w:numPr>
          <w:ilvl w:val="1"/>
          <w:numId w:val="16"/>
        </w:numPr>
      </w:pPr>
      <w:bookmarkStart w:id="8" w:name="_Toc402956175"/>
      <w:r>
        <w:t>The impacts of drainage on the water storage capacity of peat soils</w:t>
      </w:r>
      <w:bookmarkEnd w:id="8"/>
    </w:p>
    <w:p w:rsidR="00B4335D" w:rsidRPr="00B4335D" w:rsidRDefault="00B4335D" w:rsidP="00B4335D"/>
    <w:p w:rsidR="007F1BC1" w:rsidRDefault="00851654" w:rsidP="00E22529">
      <w:pPr>
        <w:jc w:val="both"/>
      </w:pPr>
      <w:r w:rsidRPr="006720E7">
        <w:t xml:space="preserve">The </w:t>
      </w:r>
      <w:r w:rsidR="006621A1">
        <w:t>drainable porosity</w:t>
      </w:r>
      <w:r w:rsidRPr="006720E7">
        <w:t xml:space="preserve"> of peat depends on the extent of humification and compaction. Compared with the fresh, undecomposed peats found near the surface of acid mires where the specific yield is typically above 50%, fen peats derived from reed and sedge remains, and humified peats from deep in acid mires, have higher bulk densities (based on saturated volume) and their porosity, though still very high, consists of small pores which do not drain readily (Boelter, 1964), resulting in specific yields between 10% and 20% (Gilman, 1994). </w:t>
      </w:r>
      <w:r w:rsidR="00E22529">
        <w:t>Drainage and land management practice are among t</w:t>
      </w:r>
      <w:r w:rsidR="006621A1">
        <w:t>he factors</w:t>
      </w:r>
      <w:r w:rsidR="0038313E">
        <w:t xml:space="preserve"> that</w:t>
      </w:r>
      <w:r w:rsidR="006621A1">
        <w:t xml:space="preserve"> influence d</w:t>
      </w:r>
      <w:r w:rsidR="00153E9F">
        <w:t xml:space="preserve">rainable porosity in peat soils. Whilst short to medium term lowering of the water table will provide increased water storage, the long-term drying of peatlands is liable to result in subsidence and peat decomposition (Holden </w:t>
      </w:r>
      <w:r w:rsidR="00153E9F">
        <w:rPr>
          <w:i/>
        </w:rPr>
        <w:t>et al.</w:t>
      </w:r>
      <w:r w:rsidR="00153E9F">
        <w:t xml:space="preserve">, 2004). </w:t>
      </w:r>
      <w:r w:rsidR="007F1BC1" w:rsidRPr="001514B5">
        <w:rPr>
          <w:rFonts w:cs="AdvTT5235d5a9"/>
          <w:color w:val="231F20"/>
        </w:rPr>
        <w:t>Shrinkage, although partly reversible, can</w:t>
      </w:r>
      <w:r w:rsidR="007F1BC1">
        <w:rPr>
          <w:rFonts w:cs="AdvTT5235d5a9"/>
          <w:color w:val="231F20"/>
        </w:rPr>
        <w:t xml:space="preserve"> </w:t>
      </w:r>
      <w:r w:rsidR="007F1BC1" w:rsidRPr="001514B5">
        <w:rPr>
          <w:rFonts w:cs="AdvTT5235d5a9"/>
          <w:color w:val="231F20"/>
        </w:rPr>
        <w:t>severely alter the soil hydraulic properties including water retention,</w:t>
      </w:r>
      <w:r w:rsidR="007F1BC1">
        <w:rPr>
          <w:rFonts w:cs="AdvTT5235d5a9"/>
          <w:color w:val="231F20"/>
        </w:rPr>
        <w:t xml:space="preserve"> </w:t>
      </w:r>
      <w:r w:rsidR="007F1BC1" w:rsidRPr="001514B5">
        <w:rPr>
          <w:rFonts w:cs="AdvTT5235d5a9"/>
          <w:color w:val="231F20"/>
        </w:rPr>
        <w:t xml:space="preserve">hydraulic </w:t>
      </w:r>
      <w:r w:rsidR="007F1BC1" w:rsidRPr="001514B5">
        <w:rPr>
          <w:rFonts w:cs="AdvTT5235d5a9"/>
          <w:color w:val="231F20"/>
        </w:rPr>
        <w:lastRenderedPageBreak/>
        <w:t xml:space="preserve">conductivity and </w:t>
      </w:r>
      <w:r w:rsidR="007F1BC1" w:rsidRPr="007F1BC1">
        <w:rPr>
          <w:rFonts w:cs="AdvTT5235d5a9"/>
        </w:rPr>
        <w:t>speci</w:t>
      </w:r>
      <w:r w:rsidR="007F1BC1" w:rsidRPr="007F1BC1">
        <w:rPr>
          <w:rFonts w:cs="AdvTT5235d5a9+fb"/>
        </w:rPr>
        <w:t>fi</w:t>
      </w:r>
      <w:r w:rsidR="007F1BC1" w:rsidRPr="007F1BC1">
        <w:rPr>
          <w:rFonts w:cs="AdvTT5235d5a9"/>
        </w:rPr>
        <w:t>c yield (Price and Schlotzhauer, 1999; Kellner and Halldin, 2002; Kennedy and Price, 2005).</w:t>
      </w:r>
      <w:r w:rsidR="007F1BC1" w:rsidRPr="007F1BC1">
        <w:t xml:space="preserve"> The</w:t>
      </w:r>
      <w:r w:rsidR="007F1BC1" w:rsidRPr="00F26E1E">
        <w:t xml:space="preserve"> subsidence is also associated with the collapse of readily drainable macropores (Silins and Rothwell, 1998)</w:t>
      </w:r>
    </w:p>
    <w:p w:rsidR="007F1BC1" w:rsidRPr="006B1EB9" w:rsidRDefault="007F1BC1" w:rsidP="007F1BC1">
      <w:pPr>
        <w:jc w:val="both"/>
      </w:pPr>
      <w:r>
        <w:t>After drainage, there is a decrease in macropore space and increase in micropore space which results in a lowe</w:t>
      </w:r>
      <w:r w:rsidR="00E7400D">
        <w:t>r permeability (Egglesmann, 1972</w:t>
      </w:r>
      <w:r>
        <w:t xml:space="preserve">). The duration and intensity of drainage have an important influence on permeability with an initial rapid </w:t>
      </w:r>
      <w:r w:rsidR="009B0D59">
        <w:t xml:space="preserve">decrease over the first 3 to 5 years, </w:t>
      </w:r>
      <w:r>
        <w:t>gradually becoming asymptotic to minimum value</w:t>
      </w:r>
      <w:r w:rsidR="009B0D59">
        <w:t xml:space="preserve"> after approximately 10 to 20 years</w:t>
      </w:r>
      <w:r w:rsidR="00E7400D">
        <w:t xml:space="preserve"> (Egglesmann, 1972</w:t>
      </w:r>
      <w:r>
        <w:t>).</w:t>
      </w:r>
      <w:r w:rsidRPr="007F1BC1">
        <w:t xml:space="preserve"> </w:t>
      </w:r>
      <w:r>
        <w:t>The e</w:t>
      </w:r>
      <w:r w:rsidRPr="006B1EB9">
        <w:t xml:space="preserve">ffect on </w:t>
      </w:r>
      <w:r>
        <w:t xml:space="preserve">the </w:t>
      </w:r>
      <w:r w:rsidRPr="006B1EB9">
        <w:t>water balance</w:t>
      </w:r>
      <w:r>
        <w:t xml:space="preserve"> of p</w:t>
      </w:r>
      <w:r w:rsidRPr="006B1EB9">
        <w:t xml:space="preserve">eat subsidence will be </w:t>
      </w:r>
      <w:r>
        <w:t>to release water:</w:t>
      </w:r>
      <w:r w:rsidRPr="006B1EB9">
        <w:t xml:space="preserve"> lowering the soil surface by 10 cm liberates 100 mm of water, which is either evaporated or drained</w:t>
      </w:r>
      <w:r>
        <w:t xml:space="preserve"> </w:t>
      </w:r>
      <w:r w:rsidR="00E7400D">
        <w:t>(van der Molen, 1975</w:t>
      </w:r>
      <w:r w:rsidRPr="006B1EB9">
        <w:t xml:space="preserve">). </w:t>
      </w:r>
      <w:r>
        <w:t>T</w:t>
      </w:r>
      <w:r w:rsidRPr="006B1EB9">
        <w:t xml:space="preserve">his irreversible change in moisture storage should be included in accurate determinations of the water balance of such areas. </w:t>
      </w:r>
    </w:p>
    <w:p w:rsidR="00153E9F" w:rsidRDefault="00E22529" w:rsidP="00153E9F">
      <w:pPr>
        <w:jc w:val="both"/>
      </w:pPr>
      <w:r w:rsidRPr="00144350">
        <w:rPr>
          <w:rFonts w:cs="AdvTT5235d5a9"/>
          <w:color w:val="231F20"/>
        </w:rPr>
        <w:t xml:space="preserve">Kechavarzi </w:t>
      </w:r>
      <w:r>
        <w:rPr>
          <w:rFonts w:cs="AdvTT5235d5a9"/>
          <w:i/>
          <w:color w:val="231F20"/>
        </w:rPr>
        <w:t>et al.</w:t>
      </w:r>
      <w:r w:rsidRPr="00144350">
        <w:rPr>
          <w:rFonts w:cs="AdvTT5235d5a9"/>
          <w:i/>
          <w:color w:val="231F20"/>
        </w:rPr>
        <w:t xml:space="preserve"> </w:t>
      </w:r>
      <w:r>
        <w:rPr>
          <w:rFonts w:cs="AdvTT5235d5a9"/>
          <w:color w:val="231F20"/>
        </w:rPr>
        <w:t>(</w:t>
      </w:r>
      <w:r w:rsidRPr="00144350">
        <w:rPr>
          <w:rFonts w:cs="AdvTT5235d5a9"/>
          <w:color w:val="231F20"/>
        </w:rPr>
        <w:t>2010</w:t>
      </w:r>
      <w:r>
        <w:rPr>
          <w:rFonts w:cs="AdvTT5235d5a9"/>
          <w:color w:val="231F20"/>
        </w:rPr>
        <w:t>)</w:t>
      </w:r>
      <w:r>
        <w:t xml:space="preserve"> notes that </w:t>
      </w:r>
      <w:r w:rsidRPr="00144350">
        <w:t>bio-oxidation of soil organic matter leads to</w:t>
      </w:r>
      <w:r>
        <w:t xml:space="preserve"> </w:t>
      </w:r>
      <w:r w:rsidRPr="00144350">
        <w:t>irreversible changes in soil physical characteristics including soil</w:t>
      </w:r>
      <w:r>
        <w:t xml:space="preserve"> </w:t>
      </w:r>
      <w:r w:rsidRPr="00144350">
        <w:t>structure as evidenced through variations in the hydraulic properties</w:t>
      </w:r>
      <w:r>
        <w:t xml:space="preserve"> </w:t>
      </w:r>
      <w:r w:rsidRPr="00144350">
        <w:t xml:space="preserve">of peat soils at different stages of degradation. </w:t>
      </w:r>
      <w:r>
        <w:t>In order to understand</w:t>
      </w:r>
      <w:r w:rsidRPr="00144350">
        <w:t xml:space="preserve"> the</w:t>
      </w:r>
      <w:r>
        <w:t xml:space="preserve"> </w:t>
      </w:r>
      <w:r w:rsidRPr="00144350">
        <w:t>in</w:t>
      </w:r>
      <w:r w:rsidRPr="00144350">
        <w:rPr>
          <w:rFonts w:cs="AdvTT5235d5a9+fb"/>
        </w:rPr>
        <w:t>fl</w:t>
      </w:r>
      <w:r w:rsidRPr="00144350">
        <w:t>uence of anthropogenic activities, such as water table management,</w:t>
      </w:r>
      <w:r>
        <w:t xml:space="preserve"> </w:t>
      </w:r>
      <w:r w:rsidRPr="00144350">
        <w:t>on the miner</w:t>
      </w:r>
      <w:r>
        <w:t xml:space="preserve">alisation process of peat soils </w:t>
      </w:r>
      <w:r w:rsidRPr="00144350">
        <w:t>knowledge</w:t>
      </w:r>
      <w:r>
        <w:t xml:space="preserve"> of</w:t>
      </w:r>
      <w:r w:rsidRPr="00144350">
        <w:t xml:space="preserve"> the in</w:t>
      </w:r>
      <w:r w:rsidRPr="00144350">
        <w:rPr>
          <w:rFonts w:cs="AdvTT5235d5a9+fb"/>
        </w:rPr>
        <w:t>fl</w:t>
      </w:r>
      <w:r w:rsidRPr="00144350">
        <w:t xml:space="preserve">uence of </w:t>
      </w:r>
      <w:r w:rsidRPr="00E22529">
        <w:t>shrinkage and long-term changes in peat physical properties on the hydraulic relationships is required (Weiss et al., 1998).</w:t>
      </w:r>
      <w:r>
        <w:t xml:space="preserve"> </w:t>
      </w:r>
      <w:r w:rsidR="00153E9F">
        <w:t xml:space="preserve">However </w:t>
      </w:r>
      <w:r w:rsidR="00153E9F" w:rsidRPr="00144350">
        <w:rPr>
          <w:rFonts w:cs="AdvTT5235d5a9"/>
          <w:color w:val="231F20"/>
        </w:rPr>
        <w:t>Kechavarzi</w:t>
      </w:r>
      <w:r w:rsidR="009B0D59">
        <w:rPr>
          <w:rFonts w:cs="AdvTT5235d5a9"/>
          <w:color w:val="231F20"/>
        </w:rPr>
        <w:t xml:space="preserve"> </w:t>
      </w:r>
      <w:r w:rsidR="009B0D59">
        <w:rPr>
          <w:rFonts w:cs="AdvTT5235d5a9"/>
          <w:i/>
          <w:color w:val="231F20"/>
        </w:rPr>
        <w:t>et al</w:t>
      </w:r>
      <w:r w:rsidR="009B0D59">
        <w:rPr>
          <w:rFonts w:cs="AdvTT5235d5a9"/>
          <w:color w:val="231F20"/>
        </w:rPr>
        <w:t>. (2010)</w:t>
      </w:r>
      <w:r w:rsidR="00153E9F" w:rsidRPr="00144350">
        <w:rPr>
          <w:rFonts w:cs="AdvTT5235d5a9"/>
          <w:color w:val="231F20"/>
        </w:rPr>
        <w:t xml:space="preserve"> </w:t>
      </w:r>
      <w:r w:rsidR="00153E9F">
        <w:rPr>
          <w:rFonts w:cs="AdvTT5235d5a9"/>
          <w:color w:val="231F20"/>
        </w:rPr>
        <w:t xml:space="preserve">also notes that </w:t>
      </w:r>
      <w:r w:rsidR="00153E9F" w:rsidRPr="00144350">
        <w:t>the in</w:t>
      </w:r>
      <w:r w:rsidR="00153E9F" w:rsidRPr="00144350">
        <w:rPr>
          <w:rFonts w:cs="AdvTT5235d5a9+fb"/>
        </w:rPr>
        <w:t>fl</w:t>
      </w:r>
      <w:r w:rsidR="00153E9F" w:rsidRPr="00144350">
        <w:t>uence of long-term changes in peat soils physical characteristics on hydraulic</w:t>
      </w:r>
      <w:r w:rsidR="00153E9F">
        <w:t xml:space="preserve"> </w:t>
      </w:r>
      <w:r w:rsidR="00153E9F" w:rsidRPr="00144350">
        <w:t>functions is poorly understood and, as a result, generally discounted in</w:t>
      </w:r>
      <w:r w:rsidR="00153E9F">
        <w:t xml:space="preserve"> </w:t>
      </w:r>
      <w:r w:rsidR="00153E9F" w:rsidRPr="00144350">
        <w:t xml:space="preserve">modelling peat soil hydrology </w:t>
      </w:r>
      <w:r w:rsidR="00153E9F" w:rsidRPr="009B0D59">
        <w:t>(Letts et al., 2000; Kellner and Halldin, 2002).</w:t>
      </w:r>
    </w:p>
    <w:p w:rsidR="00E950FA" w:rsidRDefault="00E950FA" w:rsidP="00153E9F">
      <w:pPr>
        <w:jc w:val="both"/>
        <w:rPr>
          <w:rFonts w:cs="AdvTT5235d5a9"/>
          <w:color w:val="231F20"/>
        </w:rPr>
      </w:pPr>
    </w:p>
    <w:p w:rsidR="007F1BC1" w:rsidRDefault="009B0D59" w:rsidP="00B4335D">
      <w:pPr>
        <w:pStyle w:val="Heading3"/>
        <w:numPr>
          <w:ilvl w:val="1"/>
          <w:numId w:val="16"/>
        </w:numPr>
      </w:pPr>
      <w:bookmarkStart w:id="9" w:name="_Toc402956176"/>
      <w:r>
        <w:t>Determination of drainable porosity</w:t>
      </w:r>
      <w:bookmarkEnd w:id="9"/>
    </w:p>
    <w:p w:rsidR="00E950FA" w:rsidRPr="00E950FA" w:rsidRDefault="00E950FA" w:rsidP="00E950FA"/>
    <w:p w:rsidR="006621A1" w:rsidRDefault="006621A1" w:rsidP="006720E7">
      <w:pPr>
        <w:jc w:val="both"/>
      </w:pPr>
      <w:r>
        <w:t xml:space="preserve">An approximation of specific yield can be achieved by measuring the water table response to rainfall events. Such measurements were taken </w:t>
      </w:r>
      <w:r w:rsidRPr="006720E7">
        <w:t>at West Sedgemoor in late Sept</w:t>
      </w:r>
      <w:r>
        <w:t>ember and early October of 1990</w:t>
      </w:r>
      <w:r w:rsidRPr="006621A1">
        <w:t xml:space="preserve"> </w:t>
      </w:r>
      <w:r w:rsidRPr="006720E7">
        <w:t>using the Institute of Hydrology lysimeter</w:t>
      </w:r>
      <w:r>
        <w:t xml:space="preserve">. </w:t>
      </w:r>
      <w:r w:rsidRPr="006720E7">
        <w:t>The</w:t>
      </w:r>
      <w:r w:rsidR="00A12490">
        <w:t xml:space="preserve"> results are shown in figure 7</w:t>
      </w:r>
      <w:r w:rsidRPr="006720E7">
        <w:t>, and analysis of these results suggests a specific yield of 25 %, which is consistent with estimates by other means (Gilman, 1994).</w:t>
      </w:r>
      <w:r w:rsidR="001F772A">
        <w:t xml:space="preserve"> Also noted during this experiment was the virtually instantaneous rise in the water level following rainfall and subsequently the very rapid fall in the water level in the hours following the peak. The water level took several days to stabilise. Having ruled out surface or sub-surface runoff as the maximum water table was 0.1 m below the ground surface, and evaporation as the cause of the water table decline, it is believed that the cause of this sharp rise and fall is the entrapment of air by rapidly infiltrating water. This may have relevance when calculating how the storage capacity might change with time. </w:t>
      </w:r>
    </w:p>
    <w:p w:rsidR="00122CFA" w:rsidRDefault="00122CFA" w:rsidP="00122CFA">
      <w:pPr>
        <w:keepNext/>
        <w:jc w:val="both"/>
      </w:pPr>
      <w:r>
        <w:rPr>
          <w:noProof/>
        </w:rPr>
        <w:lastRenderedPageBreak/>
        <w:drawing>
          <wp:inline distT="0" distB="0" distL="0" distR="0">
            <wp:extent cx="4823406" cy="3358950"/>
            <wp:effectExtent l="19050" t="0" r="0" b="0"/>
            <wp:docPr id="8" name="Picture 2" descr="W:\hew\Projects\Somerset Levels and Moors\Moors ditch storage 2014\Work Files\Literature Review\References\Gilman Figure 30 West Sedgemoor Lysimeter response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w\Projects\Somerset Levels and Moors\Moors ditch storage 2014\Work Files\Literature Review\References\Gilman Figure 30 West Sedgemoor Lysimeter response_cropped.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828819" cy="3362720"/>
                    </a:xfrm>
                    <a:prstGeom prst="rect">
                      <a:avLst/>
                    </a:prstGeom>
                    <a:noFill/>
                    <a:ln w="9525">
                      <a:noFill/>
                      <a:miter lim="800000"/>
                      <a:headEnd/>
                      <a:tailEnd/>
                    </a:ln>
                  </pic:spPr>
                </pic:pic>
              </a:graphicData>
            </a:graphic>
          </wp:inline>
        </w:drawing>
      </w:r>
    </w:p>
    <w:p w:rsidR="00A45F0B" w:rsidRPr="001C213B" w:rsidRDefault="00122CFA" w:rsidP="00122CFA">
      <w:pPr>
        <w:pStyle w:val="Caption"/>
        <w:jc w:val="both"/>
        <w:rPr>
          <w:b w:val="0"/>
          <w:i/>
          <w:color w:val="auto"/>
          <w:sz w:val="22"/>
          <w:szCs w:val="22"/>
        </w:rPr>
      </w:pPr>
      <w:r w:rsidRPr="00122CFA">
        <w:rPr>
          <w:b w:val="0"/>
          <w:color w:val="auto"/>
          <w:sz w:val="22"/>
          <w:szCs w:val="22"/>
        </w:rPr>
        <w:t xml:space="preserve">Figure </w:t>
      </w:r>
      <w:r w:rsidR="00251534" w:rsidRPr="00122CFA">
        <w:rPr>
          <w:b w:val="0"/>
          <w:color w:val="auto"/>
          <w:sz w:val="22"/>
          <w:szCs w:val="22"/>
        </w:rPr>
        <w:fldChar w:fldCharType="begin"/>
      </w:r>
      <w:r w:rsidRPr="00122CFA">
        <w:rPr>
          <w:b w:val="0"/>
          <w:color w:val="auto"/>
          <w:sz w:val="22"/>
          <w:szCs w:val="22"/>
        </w:rPr>
        <w:instrText xml:space="preserve"> SEQ Figure \* ARABIC </w:instrText>
      </w:r>
      <w:r w:rsidR="00251534" w:rsidRPr="00122CFA">
        <w:rPr>
          <w:b w:val="0"/>
          <w:color w:val="auto"/>
          <w:sz w:val="22"/>
          <w:szCs w:val="22"/>
        </w:rPr>
        <w:fldChar w:fldCharType="separate"/>
      </w:r>
      <w:r w:rsidR="000E193B">
        <w:rPr>
          <w:b w:val="0"/>
          <w:noProof/>
          <w:color w:val="auto"/>
          <w:sz w:val="22"/>
          <w:szCs w:val="22"/>
        </w:rPr>
        <w:t>7</w:t>
      </w:r>
      <w:r w:rsidR="00251534" w:rsidRPr="00122CFA">
        <w:rPr>
          <w:b w:val="0"/>
          <w:color w:val="auto"/>
          <w:sz w:val="22"/>
          <w:szCs w:val="22"/>
        </w:rPr>
        <w:fldChar w:fldCharType="end"/>
      </w:r>
      <w:r w:rsidR="00F54328">
        <w:rPr>
          <w:b w:val="0"/>
          <w:color w:val="auto"/>
          <w:sz w:val="22"/>
          <w:szCs w:val="22"/>
        </w:rPr>
        <w:t>.</w:t>
      </w:r>
      <w:r w:rsidRPr="00122CFA">
        <w:rPr>
          <w:b w:val="0"/>
          <w:color w:val="auto"/>
          <w:sz w:val="22"/>
          <w:szCs w:val="22"/>
        </w:rPr>
        <w:t xml:space="preserve"> Hourly measurements of water table elevation at the West Sedgemoor lysimeter site. </w:t>
      </w:r>
      <w:r w:rsidR="008D0727">
        <w:rPr>
          <w:b w:val="0"/>
          <w:i/>
          <w:color w:val="auto"/>
          <w:sz w:val="22"/>
          <w:szCs w:val="22"/>
        </w:rPr>
        <w:t>From Gilman, 1994.</w:t>
      </w:r>
    </w:p>
    <w:p w:rsidR="00B424E7" w:rsidRDefault="00B424E7" w:rsidP="00B424E7"/>
    <w:p w:rsidR="0031093E" w:rsidRDefault="009B0D59" w:rsidP="0031093E">
      <w:pPr>
        <w:jc w:val="both"/>
      </w:pPr>
      <w:r w:rsidRPr="00144350">
        <w:rPr>
          <w:rFonts w:cs="AdvTT5235d5a9"/>
          <w:color w:val="231F20"/>
        </w:rPr>
        <w:t xml:space="preserve">Kechavarzi </w:t>
      </w:r>
      <w:r w:rsidRPr="00144350">
        <w:rPr>
          <w:rFonts w:cs="AdvTT5235d5a9"/>
          <w:i/>
          <w:color w:val="231F20"/>
        </w:rPr>
        <w:t xml:space="preserve">et al., </w:t>
      </w:r>
      <w:r>
        <w:rPr>
          <w:rFonts w:cs="AdvTT5235d5a9"/>
          <w:color w:val="231F20"/>
        </w:rPr>
        <w:t>(</w:t>
      </w:r>
      <w:r w:rsidRPr="00144350">
        <w:rPr>
          <w:rFonts w:cs="AdvTT5235d5a9"/>
          <w:color w:val="231F20"/>
        </w:rPr>
        <w:t>2010</w:t>
      </w:r>
      <w:r>
        <w:rPr>
          <w:rFonts w:cs="AdvTT5235d5a9"/>
          <w:color w:val="231F20"/>
        </w:rPr>
        <w:t xml:space="preserve">) carried out extensive analysis of the physical characteristics of the peat at West Sedgemoor (WSM). </w:t>
      </w:r>
      <w:r w:rsidR="00144350" w:rsidRPr="009E0090">
        <w:t xml:space="preserve">The measured physical characteristics are </w:t>
      </w:r>
      <w:r>
        <w:t xml:space="preserve">presented </w:t>
      </w:r>
      <w:r w:rsidR="00144350" w:rsidRPr="009B0D59">
        <w:t xml:space="preserve">in </w:t>
      </w:r>
      <w:r w:rsidR="009F5D32">
        <w:t>Table 7</w:t>
      </w:r>
      <w:r w:rsidR="00144350" w:rsidRPr="009B0D59">
        <w:t>.</w:t>
      </w:r>
      <w:r w:rsidR="009E0090">
        <w:t xml:space="preserve"> </w:t>
      </w:r>
      <w:r w:rsidR="00144350" w:rsidRPr="009E0090">
        <w:t>At WSM, the peat is capped with an organic mineral soil layer with</w:t>
      </w:r>
      <w:r w:rsidR="009E0090">
        <w:t xml:space="preserve"> </w:t>
      </w:r>
      <w:r w:rsidR="00144350" w:rsidRPr="009E0090">
        <w:t>a thickness ranging from 0.06 to 0.15 m classi</w:t>
      </w:r>
      <w:r w:rsidR="00144350" w:rsidRPr="009E0090">
        <w:rPr>
          <w:rFonts w:cs="AdvTT5235d5a9+fb"/>
        </w:rPr>
        <w:t>fi</w:t>
      </w:r>
      <w:r w:rsidR="00144350" w:rsidRPr="009E0090">
        <w:t xml:space="preserve">ed as peaty </w:t>
      </w:r>
      <w:r w:rsidR="00144350" w:rsidRPr="009B0D59">
        <w:t>loam</w:t>
      </w:r>
      <w:r w:rsidR="009E0090" w:rsidRPr="009B0D59">
        <w:t xml:space="preserve"> </w:t>
      </w:r>
      <w:r w:rsidR="00144350" w:rsidRPr="009B0D59">
        <w:t>(Burton and Hodgson, 1987).</w:t>
      </w:r>
      <w:r w:rsidR="00144350" w:rsidRPr="009E0090">
        <w:t xml:space="preserve"> </w:t>
      </w:r>
      <w:r>
        <w:t xml:space="preserve">The results from this layer are unlikely to be typical of the wider peat soils and although included in the table, are therefore not included in further analysis. </w:t>
      </w:r>
      <w:r w:rsidR="00144350" w:rsidRPr="009E0090">
        <w:t>The underlying peat horizon is humi</w:t>
      </w:r>
      <w:r w:rsidR="00144350" w:rsidRPr="009E0090">
        <w:rPr>
          <w:rFonts w:cs="AdvTT5235d5a9+fb"/>
        </w:rPr>
        <w:t>fi</w:t>
      </w:r>
      <w:r w:rsidR="00144350" w:rsidRPr="009E0090">
        <w:t>ed and can reach a</w:t>
      </w:r>
      <w:r w:rsidR="009E0090">
        <w:t xml:space="preserve"> </w:t>
      </w:r>
      <w:r w:rsidR="00144350" w:rsidRPr="009E0090">
        <w:t>maximum depth of 1 m. Below this horizon, the peat is less</w:t>
      </w:r>
      <w:r w:rsidR="009E0090">
        <w:t xml:space="preserve"> </w:t>
      </w:r>
      <w:r w:rsidR="00144350" w:rsidRPr="009E0090">
        <w:t>decomposed, being classi</w:t>
      </w:r>
      <w:r w:rsidR="00144350" w:rsidRPr="009E0090">
        <w:rPr>
          <w:rFonts w:cs="AdvTT5235d5a9+fb"/>
        </w:rPr>
        <w:t>fi</w:t>
      </w:r>
      <w:r w:rsidR="00144350" w:rsidRPr="009E0090">
        <w:t>ed as semi-</w:t>
      </w:r>
      <w:r w:rsidR="00144350" w:rsidRPr="009E0090">
        <w:rPr>
          <w:rFonts w:cs="AdvTT5235d5a9+fb"/>
        </w:rPr>
        <w:t>fi</w:t>
      </w:r>
      <w:r>
        <w:t>brous peat</w:t>
      </w:r>
      <w:r w:rsidR="009E0090" w:rsidRPr="009E0090">
        <w:rPr>
          <w:rFonts w:cs="AdvTT5235d5a9"/>
          <w:color w:val="231F20"/>
        </w:rPr>
        <w:t xml:space="preserve"> </w:t>
      </w:r>
      <w:r w:rsidR="009E0090">
        <w:rPr>
          <w:rFonts w:cs="AdvTT5235d5a9"/>
          <w:color w:val="231F20"/>
        </w:rPr>
        <w:t>(</w:t>
      </w:r>
      <w:r w:rsidR="009E0090" w:rsidRPr="00144350">
        <w:rPr>
          <w:rFonts w:cs="AdvTT5235d5a9"/>
          <w:color w:val="231F20"/>
        </w:rPr>
        <w:t xml:space="preserve">Kechavarzi </w:t>
      </w:r>
      <w:r w:rsidR="009E0090" w:rsidRPr="00144350">
        <w:rPr>
          <w:rFonts w:cs="AdvTT5235d5a9"/>
          <w:i/>
          <w:color w:val="231F20"/>
        </w:rPr>
        <w:t xml:space="preserve">et al., </w:t>
      </w:r>
      <w:r w:rsidR="009E0090" w:rsidRPr="00144350">
        <w:rPr>
          <w:rFonts w:cs="AdvTT5235d5a9"/>
          <w:color w:val="231F20"/>
        </w:rPr>
        <w:t>2010</w:t>
      </w:r>
      <w:r w:rsidR="009E0090">
        <w:rPr>
          <w:rFonts w:cs="AdvTT5235d5a9"/>
          <w:color w:val="231F20"/>
        </w:rPr>
        <w:t>)</w:t>
      </w:r>
      <w:r>
        <w:rPr>
          <w:rFonts w:cs="AdvTT5235d5a9"/>
          <w:color w:val="231F20"/>
        </w:rPr>
        <w:t xml:space="preserve">. The results here concur with the </w:t>
      </w:r>
      <w:r w:rsidR="009E0090" w:rsidRPr="001225B9">
        <w:rPr>
          <w:rFonts w:cs="AdvTT5235d5a9+fb"/>
        </w:rPr>
        <w:t>fi</w:t>
      </w:r>
      <w:r w:rsidR="009E0090" w:rsidRPr="001225B9">
        <w:t xml:space="preserve">ndings of </w:t>
      </w:r>
      <w:r w:rsidR="009E0090" w:rsidRPr="009B0D59">
        <w:t>Schwärzel et al (2002) that</w:t>
      </w:r>
      <w:r w:rsidR="001225B9" w:rsidRPr="009B0D59">
        <w:t xml:space="preserve"> </w:t>
      </w:r>
      <w:r w:rsidR="009E0090" w:rsidRPr="009B0D59">
        <w:t>progressive</w:t>
      </w:r>
      <w:r w:rsidR="009E0090" w:rsidRPr="001225B9">
        <w:t xml:space="preserve"> decomposition of peat soils results in lower porosity</w:t>
      </w:r>
      <w:r w:rsidR="001225B9">
        <w:t xml:space="preserve"> </w:t>
      </w:r>
      <w:r w:rsidR="009E0090" w:rsidRPr="001225B9">
        <w:t>and SOM and higher bulk density.</w:t>
      </w:r>
      <w:r w:rsidR="00B30B10" w:rsidRPr="00B30B10">
        <w:t xml:space="preserve"> </w:t>
      </w:r>
    </w:p>
    <w:p w:rsidR="001C213B" w:rsidRDefault="00B30B10" w:rsidP="00B4335D">
      <w:pPr>
        <w:jc w:val="both"/>
        <w:rPr>
          <w:rFonts w:cs="TimesNewRomanPSMT"/>
        </w:rPr>
      </w:pPr>
      <w:r>
        <w:t xml:space="preserve">Dawson (2006) also carried out analysis of samples from West Sedgemoor and his </w:t>
      </w:r>
      <w:r w:rsidR="00762362">
        <w:t>results are also included in table 7</w:t>
      </w:r>
      <w:r>
        <w:t xml:space="preserve">. Note that although these are results from two separate tables and the only common identifiers between the sample sets are the study area and soil type. It is possible that the analysis values do not relate to exactly the same sample, even though they do appear to be from the same site. </w:t>
      </w:r>
      <w:r w:rsidR="0031093E">
        <w:t xml:space="preserve">The </w:t>
      </w:r>
      <w:r w:rsidR="0031093E" w:rsidRPr="007602C7">
        <w:rPr>
          <w:rFonts w:cs="TimesNewRomanPSMT"/>
        </w:rPr>
        <w:t xml:space="preserve">specific yield of peat </w:t>
      </w:r>
      <w:r w:rsidR="0031093E">
        <w:rPr>
          <w:rFonts w:cs="TimesNewRomanPSMT"/>
        </w:rPr>
        <w:t>wa</w:t>
      </w:r>
      <w:r w:rsidR="0031093E" w:rsidRPr="007602C7">
        <w:rPr>
          <w:rFonts w:cs="TimesNewRomanPSMT"/>
        </w:rPr>
        <w:t>s determined at -1.0 m pressure potential</w:t>
      </w:r>
      <w:r w:rsidR="0031093E">
        <w:rPr>
          <w:rFonts w:cs="TimesNewRomanPSMT"/>
        </w:rPr>
        <w:t xml:space="preserve"> as recommended by </w:t>
      </w:r>
      <w:r w:rsidR="0031093E" w:rsidRPr="007602C7">
        <w:rPr>
          <w:rFonts w:cs="TimesNewRomanPSMT"/>
        </w:rPr>
        <w:t xml:space="preserve">Boelter (1968). At -1.0 m pressure potential </w:t>
      </w:r>
      <w:r w:rsidR="0031093E">
        <w:rPr>
          <w:rFonts w:cs="TimesNewRomanPSMT"/>
        </w:rPr>
        <w:t xml:space="preserve">Dawson (2006) found the </w:t>
      </w:r>
      <w:r w:rsidR="0031093E" w:rsidRPr="007602C7">
        <w:rPr>
          <w:rFonts w:cs="TimesNewRomanPSMT"/>
        </w:rPr>
        <w:t xml:space="preserve">specific yield of all peats under investigation </w:t>
      </w:r>
      <w:r w:rsidR="0031093E">
        <w:rPr>
          <w:rFonts w:cs="TimesNewRomanPSMT"/>
        </w:rPr>
        <w:t>to average</w:t>
      </w:r>
      <w:r w:rsidR="0031093E" w:rsidRPr="007602C7">
        <w:rPr>
          <w:rFonts w:cs="TimesNewRomanPSMT"/>
        </w:rPr>
        <w:t xml:space="preserve"> 0.2 cm</w:t>
      </w:r>
      <w:r w:rsidR="0031093E" w:rsidRPr="0031093E">
        <w:rPr>
          <w:rFonts w:cs="TimesNewRomanPSMT"/>
          <w:vertAlign w:val="superscript"/>
        </w:rPr>
        <w:t>3</w:t>
      </w:r>
      <w:r w:rsidR="0031093E" w:rsidRPr="007602C7">
        <w:rPr>
          <w:rFonts w:cs="TimesNewRomanPSMT"/>
        </w:rPr>
        <w:t xml:space="preserve"> cm</w:t>
      </w:r>
      <w:r w:rsidR="0031093E" w:rsidRPr="0031093E">
        <w:rPr>
          <w:rFonts w:cs="TimesNewRomanPSMT"/>
          <w:vertAlign w:val="superscript"/>
        </w:rPr>
        <w:t>-3</w:t>
      </w:r>
      <w:r w:rsidR="0031093E" w:rsidRPr="007602C7">
        <w:rPr>
          <w:rFonts w:cs="TimesNewRomanPSMT"/>
        </w:rPr>
        <w:t>; with a mean of 0.18 cm</w:t>
      </w:r>
      <w:r w:rsidR="0031093E" w:rsidRPr="0031093E">
        <w:rPr>
          <w:rFonts w:cs="TimesNewRomanPSMT"/>
          <w:vertAlign w:val="superscript"/>
        </w:rPr>
        <w:t>3</w:t>
      </w:r>
      <w:r w:rsidR="0031093E" w:rsidRPr="007602C7">
        <w:rPr>
          <w:rFonts w:cs="TimesNewRomanPSMT"/>
        </w:rPr>
        <w:t xml:space="preserve"> cm</w:t>
      </w:r>
      <w:r w:rsidR="0031093E" w:rsidRPr="0031093E">
        <w:rPr>
          <w:rFonts w:cs="TimesNewRomanPSMT"/>
          <w:vertAlign w:val="superscript"/>
        </w:rPr>
        <w:t>-3</w:t>
      </w:r>
      <w:r w:rsidR="0031093E" w:rsidRPr="007602C7">
        <w:rPr>
          <w:rFonts w:cs="TimesNewRomanPSMT"/>
        </w:rPr>
        <w:t xml:space="preserve"> for West Sedgemoor peats and 0.22 cm</w:t>
      </w:r>
      <w:r w:rsidR="0031093E" w:rsidRPr="0031093E">
        <w:rPr>
          <w:rFonts w:cs="TimesNewRomanPSMT"/>
          <w:vertAlign w:val="superscript"/>
        </w:rPr>
        <w:t>3</w:t>
      </w:r>
      <w:r w:rsidR="0031093E" w:rsidRPr="007602C7">
        <w:rPr>
          <w:rFonts w:cs="TimesNewRomanPSMT"/>
        </w:rPr>
        <w:t xml:space="preserve"> cm</w:t>
      </w:r>
      <w:r w:rsidR="0031093E" w:rsidRPr="0031093E">
        <w:rPr>
          <w:rFonts w:cs="TimesNewRomanPSMT"/>
          <w:vertAlign w:val="superscript"/>
        </w:rPr>
        <w:t>-3</w:t>
      </w:r>
      <w:r w:rsidR="0031093E" w:rsidRPr="007602C7">
        <w:rPr>
          <w:rFonts w:cs="TimesNewRomanPSMT"/>
        </w:rPr>
        <w:t xml:space="preserve"> for Methwold Fen peats. These values are comparable with those reported by a number of authors (Boelter 1968, Letts </w:t>
      </w:r>
      <w:r w:rsidR="0031093E" w:rsidRPr="007602C7">
        <w:rPr>
          <w:rFonts w:cs="Times New Roman"/>
          <w:i/>
          <w:iCs/>
        </w:rPr>
        <w:t xml:space="preserve">et al. </w:t>
      </w:r>
      <w:r w:rsidR="0031093E" w:rsidRPr="007602C7">
        <w:rPr>
          <w:rFonts w:cs="TimesNewRomanPSMT"/>
        </w:rPr>
        <w:t xml:space="preserve">2000, Murtedza </w:t>
      </w:r>
      <w:r w:rsidR="0031093E" w:rsidRPr="007602C7">
        <w:rPr>
          <w:rFonts w:cs="Times New Roman"/>
          <w:i/>
          <w:iCs/>
        </w:rPr>
        <w:t xml:space="preserve">et al. </w:t>
      </w:r>
      <w:r w:rsidR="0031093E" w:rsidRPr="007602C7">
        <w:rPr>
          <w:rFonts w:cs="TimesNewRomanPSMT"/>
        </w:rPr>
        <w:t xml:space="preserve">2002 and Parkin </w:t>
      </w:r>
      <w:r w:rsidR="0031093E" w:rsidRPr="007602C7">
        <w:rPr>
          <w:rFonts w:cs="Times New Roman"/>
          <w:i/>
          <w:iCs/>
        </w:rPr>
        <w:t xml:space="preserve">et al. </w:t>
      </w:r>
      <w:r w:rsidR="0031093E" w:rsidRPr="007602C7">
        <w:rPr>
          <w:rFonts w:cs="TimesNewRomanPSMT"/>
        </w:rPr>
        <w:t>2004) for the specific yield of a range of peat soils.</w:t>
      </w:r>
    </w:p>
    <w:p w:rsidR="00E950FA" w:rsidRDefault="00E950FA" w:rsidP="00B4335D">
      <w:pPr>
        <w:jc w:val="both"/>
        <w:rPr>
          <w:rFonts w:cs="TimesNewRomanPSMT"/>
        </w:rPr>
      </w:pPr>
    </w:p>
    <w:p w:rsidR="00E950FA" w:rsidRPr="00B4335D" w:rsidRDefault="00E950FA" w:rsidP="00B4335D">
      <w:pPr>
        <w:jc w:val="both"/>
      </w:pPr>
    </w:p>
    <w:p w:rsidR="009E0090" w:rsidRPr="00F54328" w:rsidRDefault="009E0090" w:rsidP="00B30B10">
      <w:pPr>
        <w:jc w:val="both"/>
      </w:pPr>
      <w:r w:rsidRPr="00F54328">
        <w:lastRenderedPageBreak/>
        <w:t xml:space="preserve">Table </w:t>
      </w:r>
      <w:r w:rsidR="00251534" w:rsidRPr="00F54328">
        <w:fldChar w:fldCharType="begin"/>
      </w:r>
      <w:r w:rsidRPr="00F54328">
        <w:instrText xml:space="preserve"> SEQ Table \* ARABIC </w:instrText>
      </w:r>
      <w:r w:rsidR="00251534" w:rsidRPr="00F54328">
        <w:fldChar w:fldCharType="separate"/>
      </w:r>
      <w:r w:rsidR="000E193B">
        <w:rPr>
          <w:noProof/>
        </w:rPr>
        <w:t>7</w:t>
      </w:r>
      <w:r w:rsidR="00251534" w:rsidRPr="00F54328">
        <w:fldChar w:fldCharType="end"/>
      </w:r>
      <w:r w:rsidR="00F54328" w:rsidRPr="00F54328">
        <w:t>.</w:t>
      </w:r>
      <w:r w:rsidRPr="00F54328">
        <w:t xml:space="preserve"> Physical characteristics of soil profiles sampled. From Kechavarzi </w:t>
      </w:r>
      <w:r w:rsidRPr="00F54328">
        <w:rPr>
          <w:i/>
        </w:rPr>
        <w:t>et al.,</w:t>
      </w:r>
      <w:r w:rsidRPr="00F54328">
        <w:t xml:space="preserve"> 2010)</w:t>
      </w:r>
      <w:r w:rsidR="00DA5F29">
        <w: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1658"/>
        <w:gridCol w:w="823"/>
        <w:gridCol w:w="473"/>
        <w:gridCol w:w="571"/>
        <w:gridCol w:w="571"/>
        <w:gridCol w:w="571"/>
        <w:gridCol w:w="571"/>
        <w:gridCol w:w="571"/>
        <w:gridCol w:w="571"/>
        <w:gridCol w:w="571"/>
        <w:gridCol w:w="571"/>
        <w:gridCol w:w="571"/>
        <w:gridCol w:w="571"/>
      </w:tblGrid>
      <w:tr w:rsidR="00B30B10" w:rsidRPr="00B30B10" w:rsidTr="00630D17">
        <w:trPr>
          <w:cantSplit/>
          <w:trHeight w:val="321"/>
        </w:trPr>
        <w:tc>
          <w:tcPr>
            <w:tcW w:w="0" w:type="auto"/>
            <w:gridSpan w:val="2"/>
            <w:shd w:val="clear" w:color="auto" w:fill="auto"/>
            <w:noWrap/>
            <w:vAlign w:val="bottom"/>
            <w:hideMark/>
          </w:tcPr>
          <w:p w:rsidR="00B30B10" w:rsidRPr="00B30B10" w:rsidRDefault="00B30B10" w:rsidP="00B30B10">
            <w:pPr>
              <w:spacing w:after="0" w:line="240" w:lineRule="auto"/>
              <w:jc w:val="right"/>
              <w:rPr>
                <w:rFonts w:eastAsia="Times New Roman" w:cs="Times New Roman"/>
                <w:color w:val="000000"/>
                <w:sz w:val="20"/>
                <w:szCs w:val="20"/>
              </w:rPr>
            </w:pPr>
            <w:r>
              <w:rPr>
                <w:rFonts w:eastAsia="Times New Roman" w:cs="Times New Roman"/>
                <w:color w:val="000000"/>
                <w:sz w:val="20"/>
                <w:szCs w:val="20"/>
              </w:rPr>
              <w:t>Data Source</w:t>
            </w:r>
          </w:p>
        </w:tc>
        <w:tc>
          <w:tcPr>
            <w:tcW w:w="0" w:type="auto"/>
            <w:vAlign w:val="bottom"/>
          </w:tcPr>
          <w:p w:rsidR="00B30B10" w:rsidRPr="00B30B10" w:rsidRDefault="00B30B10" w:rsidP="00B30B10">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0" w:type="auto"/>
            <w:shd w:val="clear" w:color="auto" w:fill="auto"/>
            <w:noWrap/>
            <w:vAlign w:val="bottom"/>
            <w:hideMark/>
          </w:tcPr>
          <w:p w:rsidR="00B30B10" w:rsidRPr="00B30B10" w:rsidRDefault="00B30B10" w:rsidP="00B30B10">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0" w:type="auto"/>
            <w:shd w:val="clear" w:color="auto" w:fill="auto"/>
            <w:noWrap/>
            <w:vAlign w:val="bottom"/>
            <w:hideMark/>
          </w:tcPr>
          <w:p w:rsidR="00B30B10" w:rsidRPr="00B30B10" w:rsidRDefault="00B30B10" w:rsidP="00B30B10">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0" w:type="auto"/>
            <w:shd w:val="clear" w:color="auto" w:fill="auto"/>
            <w:noWrap/>
            <w:vAlign w:val="bottom"/>
            <w:hideMark/>
          </w:tcPr>
          <w:p w:rsidR="00B30B10" w:rsidRPr="00B30B10" w:rsidRDefault="00B30B10" w:rsidP="00B30B10">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0" w:type="auto"/>
            <w:shd w:val="clear" w:color="auto" w:fill="auto"/>
            <w:noWrap/>
            <w:vAlign w:val="bottom"/>
            <w:hideMark/>
          </w:tcPr>
          <w:p w:rsidR="00B30B10" w:rsidRPr="00B30B10" w:rsidRDefault="00B30B10" w:rsidP="00B30B10">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0" w:type="auto"/>
            <w:shd w:val="clear" w:color="auto" w:fill="auto"/>
            <w:noWrap/>
            <w:vAlign w:val="bottom"/>
            <w:hideMark/>
          </w:tcPr>
          <w:p w:rsidR="00B30B10" w:rsidRPr="00B30B10" w:rsidRDefault="00B30B10" w:rsidP="00B30B10">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0" w:type="auto"/>
            <w:shd w:val="clear" w:color="auto" w:fill="auto"/>
            <w:noWrap/>
            <w:vAlign w:val="bottom"/>
            <w:hideMark/>
          </w:tcPr>
          <w:p w:rsidR="00B30B10" w:rsidRPr="00B30B10" w:rsidRDefault="00B30B10" w:rsidP="00B30B10">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0" w:type="auto"/>
            <w:shd w:val="clear" w:color="auto" w:fill="auto"/>
            <w:noWrap/>
            <w:vAlign w:val="bottom"/>
            <w:hideMark/>
          </w:tcPr>
          <w:p w:rsidR="00B30B10" w:rsidRPr="00B30B10" w:rsidRDefault="00B30B10" w:rsidP="00B30B10">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0" w:type="auto"/>
            <w:shd w:val="clear" w:color="auto" w:fill="auto"/>
            <w:noWrap/>
            <w:vAlign w:val="bottom"/>
            <w:hideMark/>
          </w:tcPr>
          <w:p w:rsidR="00B30B10" w:rsidRPr="00B30B10" w:rsidRDefault="00B30B10" w:rsidP="00B30B10">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0" w:type="auto"/>
            <w:vAlign w:val="bottom"/>
          </w:tcPr>
          <w:p w:rsidR="00B30B10" w:rsidRPr="00B30B10" w:rsidRDefault="00B30B10" w:rsidP="00B30B10">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0" w:type="auto"/>
            <w:vAlign w:val="bottom"/>
          </w:tcPr>
          <w:p w:rsidR="00B30B10" w:rsidRPr="00B30B10" w:rsidRDefault="00B30B10" w:rsidP="00B30B10">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0" w:type="auto"/>
            <w:vAlign w:val="bottom"/>
          </w:tcPr>
          <w:p w:rsidR="00B30B10" w:rsidRPr="00B30B10" w:rsidRDefault="00B30B10" w:rsidP="00B30B10">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w:t>
            </w:r>
          </w:p>
        </w:tc>
      </w:tr>
      <w:tr w:rsidR="00B30B10" w:rsidRPr="00B30B10" w:rsidTr="00630D17">
        <w:trPr>
          <w:cantSplit/>
          <w:trHeight w:val="2986"/>
        </w:trPr>
        <w:tc>
          <w:tcPr>
            <w:tcW w:w="0" w:type="auto"/>
            <w:shd w:val="clear" w:color="auto" w:fill="auto"/>
            <w:noWrap/>
            <w:textDirection w:val="btLr"/>
            <w:hideMark/>
          </w:tcPr>
          <w:p w:rsidR="00B30B10" w:rsidRPr="00B30B10" w:rsidRDefault="00B30B10" w:rsidP="00B30B10">
            <w:pPr>
              <w:spacing w:after="0" w:line="240" w:lineRule="auto"/>
              <w:ind w:left="113" w:right="113"/>
              <w:rPr>
                <w:rFonts w:eastAsia="Times New Roman" w:cs="Times New Roman"/>
                <w:color w:val="000000"/>
                <w:sz w:val="20"/>
                <w:szCs w:val="20"/>
              </w:rPr>
            </w:pPr>
            <w:r w:rsidRPr="00B30B10">
              <w:rPr>
                <w:rFonts w:eastAsia="Times New Roman" w:cs="Times New Roman"/>
                <w:color w:val="000000"/>
                <w:sz w:val="20"/>
                <w:szCs w:val="20"/>
              </w:rPr>
              <w:t>Study area</w:t>
            </w:r>
          </w:p>
        </w:tc>
        <w:tc>
          <w:tcPr>
            <w:tcW w:w="0" w:type="auto"/>
            <w:shd w:val="clear" w:color="auto" w:fill="auto"/>
            <w:noWrap/>
            <w:textDirection w:val="btLr"/>
            <w:hideMark/>
          </w:tcPr>
          <w:p w:rsidR="00B30B10" w:rsidRPr="00B30B10" w:rsidRDefault="00B30B10" w:rsidP="00B30B10">
            <w:pPr>
              <w:spacing w:after="0" w:line="240" w:lineRule="auto"/>
              <w:ind w:left="113" w:right="113"/>
              <w:rPr>
                <w:rFonts w:eastAsia="Times New Roman" w:cs="Times New Roman"/>
                <w:color w:val="000000"/>
                <w:sz w:val="20"/>
                <w:szCs w:val="20"/>
              </w:rPr>
            </w:pPr>
            <w:r w:rsidRPr="00B30B10">
              <w:rPr>
                <w:rFonts w:eastAsia="Times New Roman" w:cs="Times New Roman"/>
                <w:color w:val="000000"/>
                <w:sz w:val="20"/>
                <w:szCs w:val="20"/>
              </w:rPr>
              <w:t xml:space="preserve">Soil type </w:t>
            </w:r>
          </w:p>
        </w:tc>
        <w:tc>
          <w:tcPr>
            <w:tcW w:w="0" w:type="auto"/>
            <w:textDirection w:val="btLr"/>
          </w:tcPr>
          <w:p w:rsidR="00B30B10" w:rsidRPr="00B30B10" w:rsidRDefault="00B30B10" w:rsidP="009E0090">
            <w:pPr>
              <w:spacing w:after="0" w:line="240" w:lineRule="auto"/>
              <w:ind w:left="113" w:right="113"/>
              <w:rPr>
                <w:rFonts w:eastAsia="Times New Roman" w:cs="Times New Roman"/>
                <w:color w:val="000000"/>
                <w:sz w:val="20"/>
                <w:szCs w:val="20"/>
              </w:rPr>
            </w:pPr>
            <w:r w:rsidRPr="00B30B10">
              <w:rPr>
                <w:rFonts w:eastAsia="Times New Roman" w:cs="Times New Roman"/>
                <w:color w:val="000000"/>
                <w:sz w:val="20"/>
                <w:szCs w:val="20"/>
              </w:rPr>
              <w:t>Sampling depth (cm)</w:t>
            </w:r>
          </w:p>
        </w:tc>
        <w:tc>
          <w:tcPr>
            <w:tcW w:w="0" w:type="auto"/>
            <w:shd w:val="clear" w:color="auto" w:fill="auto"/>
            <w:noWrap/>
            <w:textDirection w:val="btLr"/>
            <w:vAlign w:val="bottom"/>
            <w:hideMark/>
          </w:tcPr>
          <w:p w:rsidR="00B30B10" w:rsidRPr="00B30B10" w:rsidRDefault="00B30B10" w:rsidP="009E0090">
            <w:pPr>
              <w:spacing w:after="0" w:line="240" w:lineRule="auto"/>
              <w:ind w:left="113" w:right="113"/>
              <w:rPr>
                <w:rFonts w:eastAsia="Times New Roman" w:cs="Times New Roman"/>
                <w:color w:val="000000"/>
                <w:sz w:val="20"/>
                <w:szCs w:val="20"/>
              </w:rPr>
            </w:pPr>
            <w:r w:rsidRPr="00B30B10">
              <w:rPr>
                <w:rFonts w:eastAsia="Times New Roman" w:cs="Times New Roman"/>
                <w:color w:val="000000"/>
                <w:sz w:val="20"/>
                <w:szCs w:val="20"/>
              </w:rPr>
              <w:t>von Post ranking</w:t>
            </w:r>
          </w:p>
        </w:tc>
        <w:tc>
          <w:tcPr>
            <w:tcW w:w="0" w:type="auto"/>
            <w:shd w:val="clear" w:color="auto" w:fill="auto"/>
            <w:noWrap/>
            <w:textDirection w:val="btLr"/>
            <w:vAlign w:val="bottom"/>
            <w:hideMark/>
          </w:tcPr>
          <w:p w:rsidR="00B30B10" w:rsidRPr="00B30B10" w:rsidRDefault="00B30B10" w:rsidP="009E0090">
            <w:pPr>
              <w:spacing w:after="0" w:line="240" w:lineRule="auto"/>
              <w:ind w:left="113" w:right="113"/>
              <w:rPr>
                <w:rFonts w:eastAsia="Times New Roman" w:cs="Times New Roman"/>
                <w:color w:val="000000"/>
                <w:sz w:val="20"/>
                <w:szCs w:val="20"/>
              </w:rPr>
            </w:pPr>
            <w:r w:rsidRPr="00B30B10">
              <w:rPr>
                <w:rFonts w:eastAsia="Times New Roman" w:cs="Times New Roman"/>
                <w:color w:val="000000"/>
                <w:sz w:val="20"/>
                <w:szCs w:val="20"/>
              </w:rPr>
              <w:t>% SOM content (g g</w:t>
            </w:r>
            <w:r w:rsidRPr="00B30B10">
              <w:rPr>
                <w:rFonts w:eastAsia="Times New Roman" w:cs="Times New Roman"/>
                <w:color w:val="000000"/>
                <w:sz w:val="20"/>
                <w:szCs w:val="20"/>
                <w:vertAlign w:val="superscript"/>
              </w:rPr>
              <w:t>-1</w:t>
            </w:r>
            <w:r w:rsidRPr="00B30B10">
              <w:rPr>
                <w:rFonts w:eastAsia="Times New Roman" w:cs="Times New Roman"/>
                <w:color w:val="000000"/>
                <w:sz w:val="20"/>
                <w:szCs w:val="20"/>
              </w:rPr>
              <w:t>)</w:t>
            </w:r>
          </w:p>
        </w:tc>
        <w:tc>
          <w:tcPr>
            <w:tcW w:w="0" w:type="auto"/>
            <w:shd w:val="clear" w:color="auto" w:fill="auto"/>
            <w:noWrap/>
            <w:textDirection w:val="btLr"/>
            <w:vAlign w:val="bottom"/>
            <w:hideMark/>
          </w:tcPr>
          <w:p w:rsidR="00B30B10" w:rsidRPr="00B30B10" w:rsidRDefault="00B30B10" w:rsidP="009E0090">
            <w:pPr>
              <w:spacing w:after="0" w:line="240" w:lineRule="auto"/>
              <w:ind w:left="113" w:right="113"/>
              <w:rPr>
                <w:rFonts w:eastAsia="Times New Roman" w:cs="Times New Roman"/>
                <w:color w:val="000000"/>
                <w:sz w:val="20"/>
                <w:szCs w:val="20"/>
              </w:rPr>
            </w:pPr>
            <w:r w:rsidRPr="00B30B10">
              <w:rPr>
                <w:rFonts w:eastAsia="Times New Roman" w:cs="Times New Roman"/>
                <w:color w:val="000000"/>
                <w:sz w:val="20"/>
                <w:szCs w:val="20"/>
              </w:rPr>
              <w:t>SOM content (g cm</w:t>
            </w:r>
            <w:r w:rsidRPr="00B30B10">
              <w:rPr>
                <w:rFonts w:eastAsia="Times New Roman" w:cs="Times New Roman"/>
                <w:color w:val="000000"/>
                <w:sz w:val="20"/>
                <w:szCs w:val="20"/>
                <w:vertAlign w:val="superscript"/>
              </w:rPr>
              <w:t>-3</w:t>
            </w:r>
            <w:r w:rsidRPr="00B30B10">
              <w:rPr>
                <w:rFonts w:eastAsia="Times New Roman" w:cs="Times New Roman"/>
                <w:color w:val="000000"/>
                <w:sz w:val="20"/>
                <w:szCs w:val="20"/>
              </w:rPr>
              <w:t>)</w:t>
            </w:r>
          </w:p>
        </w:tc>
        <w:tc>
          <w:tcPr>
            <w:tcW w:w="0" w:type="auto"/>
            <w:shd w:val="clear" w:color="auto" w:fill="auto"/>
            <w:noWrap/>
            <w:textDirection w:val="btLr"/>
            <w:vAlign w:val="bottom"/>
            <w:hideMark/>
          </w:tcPr>
          <w:p w:rsidR="00B30B10" w:rsidRPr="00B30B10" w:rsidRDefault="00B30B10" w:rsidP="009E0090">
            <w:pPr>
              <w:spacing w:after="0" w:line="240" w:lineRule="auto"/>
              <w:ind w:left="113" w:right="113"/>
              <w:rPr>
                <w:rFonts w:eastAsia="Times New Roman" w:cs="Times New Roman"/>
                <w:color w:val="000000"/>
                <w:sz w:val="20"/>
                <w:szCs w:val="20"/>
              </w:rPr>
            </w:pPr>
            <w:r w:rsidRPr="00B30B10">
              <w:rPr>
                <w:rFonts w:eastAsia="Times New Roman" w:cs="Times New Roman"/>
                <w:color w:val="000000"/>
                <w:sz w:val="20"/>
                <w:szCs w:val="20"/>
              </w:rPr>
              <w:t>Ash content (g cm</w:t>
            </w:r>
            <w:r w:rsidRPr="00B30B10">
              <w:rPr>
                <w:rFonts w:eastAsia="Times New Roman" w:cs="Times New Roman"/>
                <w:color w:val="000000"/>
                <w:sz w:val="20"/>
                <w:szCs w:val="20"/>
                <w:vertAlign w:val="superscript"/>
              </w:rPr>
              <w:t>-3</w:t>
            </w:r>
            <w:r w:rsidRPr="00B30B10">
              <w:rPr>
                <w:rFonts w:eastAsia="Times New Roman" w:cs="Times New Roman"/>
                <w:color w:val="000000"/>
                <w:sz w:val="20"/>
                <w:szCs w:val="20"/>
              </w:rPr>
              <w:t>)</w:t>
            </w:r>
          </w:p>
        </w:tc>
        <w:tc>
          <w:tcPr>
            <w:tcW w:w="0" w:type="auto"/>
            <w:shd w:val="clear" w:color="auto" w:fill="auto"/>
            <w:noWrap/>
            <w:textDirection w:val="btLr"/>
            <w:vAlign w:val="bottom"/>
            <w:hideMark/>
          </w:tcPr>
          <w:p w:rsidR="00B30B10" w:rsidRPr="00B30B10" w:rsidRDefault="00B30B10" w:rsidP="009E0090">
            <w:pPr>
              <w:spacing w:after="0" w:line="240" w:lineRule="auto"/>
              <w:ind w:left="113" w:right="113"/>
              <w:rPr>
                <w:rFonts w:eastAsia="Times New Roman" w:cs="Times New Roman"/>
                <w:color w:val="000000"/>
                <w:sz w:val="20"/>
                <w:szCs w:val="20"/>
              </w:rPr>
            </w:pPr>
            <w:r w:rsidRPr="00B30B10">
              <w:rPr>
                <w:rFonts w:eastAsia="Times New Roman" w:cs="Times New Roman"/>
                <w:color w:val="000000"/>
                <w:sz w:val="20"/>
                <w:szCs w:val="20"/>
              </w:rPr>
              <w:t>% Organic carbon content (g g</w:t>
            </w:r>
            <w:r w:rsidRPr="00B30B10">
              <w:rPr>
                <w:rFonts w:eastAsia="Times New Roman" w:cs="Times New Roman"/>
                <w:color w:val="000000"/>
                <w:sz w:val="20"/>
                <w:szCs w:val="20"/>
                <w:vertAlign w:val="superscript"/>
              </w:rPr>
              <w:t>-1</w:t>
            </w:r>
            <w:r w:rsidRPr="00B30B10">
              <w:rPr>
                <w:rFonts w:eastAsia="Times New Roman" w:cs="Times New Roman"/>
                <w:color w:val="000000"/>
                <w:sz w:val="20"/>
                <w:szCs w:val="20"/>
              </w:rPr>
              <w:t xml:space="preserve">) </w:t>
            </w:r>
          </w:p>
        </w:tc>
        <w:tc>
          <w:tcPr>
            <w:tcW w:w="0" w:type="auto"/>
            <w:shd w:val="clear" w:color="auto" w:fill="auto"/>
            <w:noWrap/>
            <w:textDirection w:val="btLr"/>
            <w:vAlign w:val="bottom"/>
            <w:hideMark/>
          </w:tcPr>
          <w:p w:rsidR="00B30B10" w:rsidRPr="00B30B10" w:rsidRDefault="00B30B10" w:rsidP="009E0090">
            <w:pPr>
              <w:spacing w:after="0" w:line="240" w:lineRule="auto"/>
              <w:ind w:left="113" w:right="113"/>
              <w:rPr>
                <w:rFonts w:eastAsia="Times New Roman" w:cs="Times New Roman"/>
                <w:color w:val="000000"/>
                <w:sz w:val="20"/>
                <w:szCs w:val="20"/>
              </w:rPr>
            </w:pPr>
            <w:r w:rsidRPr="00B30B10">
              <w:rPr>
                <w:rFonts w:eastAsia="Times New Roman" w:cs="Times New Roman"/>
                <w:color w:val="000000"/>
                <w:sz w:val="20"/>
                <w:szCs w:val="20"/>
              </w:rPr>
              <w:t>Dry bulk density (g cm</w:t>
            </w:r>
            <w:r w:rsidRPr="00B30B10">
              <w:rPr>
                <w:rFonts w:eastAsia="Times New Roman" w:cs="Times New Roman"/>
                <w:color w:val="000000"/>
                <w:sz w:val="20"/>
                <w:szCs w:val="20"/>
                <w:vertAlign w:val="superscript"/>
              </w:rPr>
              <w:t>-3</w:t>
            </w:r>
            <w:r w:rsidRPr="00B30B10">
              <w:rPr>
                <w:rFonts w:eastAsia="Times New Roman" w:cs="Times New Roman"/>
                <w:color w:val="000000"/>
                <w:sz w:val="20"/>
                <w:szCs w:val="20"/>
              </w:rPr>
              <w:t>)</w:t>
            </w:r>
          </w:p>
        </w:tc>
        <w:tc>
          <w:tcPr>
            <w:tcW w:w="0" w:type="auto"/>
            <w:shd w:val="clear" w:color="auto" w:fill="auto"/>
            <w:noWrap/>
            <w:textDirection w:val="btLr"/>
            <w:vAlign w:val="bottom"/>
            <w:hideMark/>
          </w:tcPr>
          <w:p w:rsidR="00B30B10" w:rsidRPr="00B30B10" w:rsidRDefault="00B30B10" w:rsidP="009E0090">
            <w:pPr>
              <w:spacing w:after="0" w:line="240" w:lineRule="auto"/>
              <w:ind w:left="113" w:right="113"/>
              <w:rPr>
                <w:rFonts w:eastAsia="Times New Roman" w:cs="Times New Roman"/>
                <w:color w:val="000000"/>
                <w:sz w:val="20"/>
                <w:szCs w:val="20"/>
              </w:rPr>
            </w:pPr>
            <w:r w:rsidRPr="00B30B10">
              <w:rPr>
                <w:rFonts w:eastAsia="Times New Roman" w:cs="Times New Roman"/>
                <w:color w:val="000000"/>
                <w:sz w:val="20"/>
                <w:szCs w:val="20"/>
              </w:rPr>
              <w:t>Particle density (g cm</w:t>
            </w:r>
            <w:r w:rsidRPr="00B30B10">
              <w:rPr>
                <w:rFonts w:eastAsia="Times New Roman" w:cs="Times New Roman"/>
                <w:color w:val="000000"/>
                <w:sz w:val="20"/>
                <w:szCs w:val="20"/>
                <w:vertAlign w:val="superscript"/>
              </w:rPr>
              <w:t>-3</w:t>
            </w:r>
            <w:r w:rsidRPr="00B30B10">
              <w:rPr>
                <w:rFonts w:eastAsia="Times New Roman" w:cs="Times New Roman"/>
                <w:color w:val="000000"/>
                <w:sz w:val="20"/>
                <w:szCs w:val="20"/>
              </w:rPr>
              <w:t>)</w:t>
            </w:r>
          </w:p>
        </w:tc>
        <w:tc>
          <w:tcPr>
            <w:tcW w:w="0" w:type="auto"/>
            <w:shd w:val="clear" w:color="auto" w:fill="auto"/>
            <w:noWrap/>
            <w:textDirection w:val="btLr"/>
            <w:vAlign w:val="bottom"/>
            <w:hideMark/>
          </w:tcPr>
          <w:p w:rsidR="00B30B10" w:rsidRPr="00B30B10" w:rsidRDefault="00B30B10" w:rsidP="009E0090">
            <w:pPr>
              <w:spacing w:after="0" w:line="240" w:lineRule="auto"/>
              <w:ind w:left="113" w:right="113"/>
              <w:rPr>
                <w:rFonts w:eastAsia="Times New Roman" w:cs="Times New Roman"/>
                <w:color w:val="000000"/>
                <w:sz w:val="20"/>
                <w:szCs w:val="20"/>
              </w:rPr>
            </w:pPr>
            <w:r w:rsidRPr="00B30B10">
              <w:rPr>
                <w:rFonts w:eastAsia="Times New Roman" w:cs="Times New Roman"/>
                <w:color w:val="000000"/>
                <w:sz w:val="20"/>
                <w:szCs w:val="20"/>
              </w:rPr>
              <w:t>Porosity (cm</w:t>
            </w:r>
            <w:r w:rsidRPr="00B30B10">
              <w:rPr>
                <w:rFonts w:eastAsia="Times New Roman" w:cs="Times New Roman"/>
                <w:color w:val="000000"/>
                <w:sz w:val="20"/>
                <w:szCs w:val="20"/>
                <w:vertAlign w:val="superscript"/>
              </w:rPr>
              <w:t>3</w:t>
            </w:r>
            <w:r w:rsidRPr="00B30B10">
              <w:rPr>
                <w:rFonts w:eastAsia="Times New Roman" w:cs="Times New Roman"/>
                <w:color w:val="000000"/>
                <w:sz w:val="20"/>
                <w:szCs w:val="20"/>
              </w:rPr>
              <w:t xml:space="preserve"> cm</w:t>
            </w:r>
            <w:r w:rsidRPr="00B30B10">
              <w:rPr>
                <w:rFonts w:eastAsia="Times New Roman" w:cs="Times New Roman"/>
                <w:color w:val="000000"/>
                <w:sz w:val="20"/>
                <w:szCs w:val="20"/>
                <w:vertAlign w:val="superscript"/>
              </w:rPr>
              <w:t>-3</w:t>
            </w:r>
            <w:r w:rsidRPr="00B30B10">
              <w:rPr>
                <w:rFonts w:eastAsia="Times New Roman" w:cs="Times New Roman"/>
                <w:color w:val="000000"/>
                <w:sz w:val="20"/>
                <w:szCs w:val="20"/>
              </w:rPr>
              <w:t>)</w:t>
            </w:r>
          </w:p>
        </w:tc>
        <w:tc>
          <w:tcPr>
            <w:tcW w:w="0" w:type="auto"/>
            <w:textDirection w:val="btLr"/>
          </w:tcPr>
          <w:p w:rsidR="00B30B10" w:rsidRPr="00B30B10" w:rsidRDefault="00B30B10" w:rsidP="009E0090">
            <w:pPr>
              <w:spacing w:after="0" w:line="240" w:lineRule="auto"/>
              <w:ind w:left="113" w:right="113"/>
              <w:rPr>
                <w:rFonts w:eastAsia="Times New Roman" w:cs="Times New Roman"/>
                <w:color w:val="000000"/>
                <w:sz w:val="20"/>
                <w:szCs w:val="20"/>
              </w:rPr>
            </w:pPr>
            <w:r w:rsidRPr="00B30B10">
              <w:rPr>
                <w:rFonts w:eastAsia="Times New Roman" w:cs="Times New Roman"/>
                <w:color w:val="000000"/>
                <w:sz w:val="20"/>
                <w:szCs w:val="20"/>
              </w:rPr>
              <w:t>Horizontal saturated hydraulic conductivity (m d</w:t>
            </w:r>
            <w:r w:rsidRPr="00B30B10">
              <w:rPr>
                <w:rFonts w:eastAsia="Times New Roman" w:cs="Times New Roman"/>
                <w:color w:val="000000"/>
                <w:sz w:val="20"/>
                <w:szCs w:val="20"/>
                <w:vertAlign w:val="superscript"/>
              </w:rPr>
              <w:t>-1</w:t>
            </w:r>
            <w:r w:rsidRPr="00B30B10">
              <w:rPr>
                <w:rFonts w:eastAsia="Times New Roman" w:cs="Times New Roman"/>
                <w:color w:val="000000"/>
                <w:sz w:val="20"/>
                <w:szCs w:val="20"/>
              </w:rPr>
              <w:t>)</w:t>
            </w:r>
          </w:p>
        </w:tc>
        <w:tc>
          <w:tcPr>
            <w:tcW w:w="0" w:type="auto"/>
            <w:textDirection w:val="btLr"/>
          </w:tcPr>
          <w:p w:rsidR="00B30B10" w:rsidRPr="00B30B10" w:rsidRDefault="00B30B10" w:rsidP="002E6AB6">
            <w:pPr>
              <w:spacing w:after="0" w:line="240" w:lineRule="auto"/>
              <w:ind w:left="113" w:right="113"/>
              <w:rPr>
                <w:rFonts w:eastAsia="Times New Roman" w:cs="Times New Roman"/>
                <w:color w:val="000000"/>
                <w:sz w:val="20"/>
                <w:szCs w:val="20"/>
              </w:rPr>
            </w:pPr>
            <w:r w:rsidRPr="00B30B10">
              <w:rPr>
                <w:rFonts w:eastAsia="Times New Roman" w:cs="Times New Roman"/>
                <w:color w:val="000000"/>
                <w:sz w:val="20"/>
                <w:szCs w:val="20"/>
              </w:rPr>
              <w:t>Vertical Saturated hydraulic conductivity (m</w:t>
            </w:r>
            <w:r w:rsidR="00157534">
              <w:rPr>
                <w:rFonts w:eastAsia="Times New Roman" w:cs="Times New Roman"/>
                <w:color w:val="000000"/>
                <w:sz w:val="20"/>
                <w:szCs w:val="20"/>
                <w:vertAlign w:val="superscript"/>
              </w:rPr>
              <w:t xml:space="preserve"> </w:t>
            </w:r>
            <w:r w:rsidRPr="00B30B10">
              <w:rPr>
                <w:rFonts w:eastAsia="Times New Roman" w:cs="Times New Roman"/>
                <w:color w:val="000000"/>
                <w:sz w:val="20"/>
                <w:szCs w:val="20"/>
              </w:rPr>
              <w:t>d</w:t>
            </w:r>
            <w:r w:rsidRPr="00B30B10">
              <w:rPr>
                <w:rFonts w:eastAsia="Times New Roman" w:cs="Times New Roman"/>
                <w:color w:val="000000"/>
                <w:sz w:val="20"/>
                <w:szCs w:val="20"/>
                <w:vertAlign w:val="superscript"/>
              </w:rPr>
              <w:t>-1</w:t>
            </w:r>
            <w:r w:rsidRPr="00B30B10">
              <w:rPr>
                <w:rFonts w:eastAsia="Times New Roman" w:cs="Times New Roman"/>
                <w:color w:val="000000"/>
                <w:sz w:val="20"/>
                <w:szCs w:val="20"/>
              </w:rPr>
              <w:t>)</w:t>
            </w:r>
          </w:p>
        </w:tc>
        <w:tc>
          <w:tcPr>
            <w:tcW w:w="0" w:type="auto"/>
            <w:textDirection w:val="btLr"/>
          </w:tcPr>
          <w:p w:rsidR="00B30B10" w:rsidRPr="00B30B10" w:rsidRDefault="002E6AB6" w:rsidP="009E0090">
            <w:pPr>
              <w:spacing w:after="0" w:line="240" w:lineRule="auto"/>
              <w:ind w:left="113" w:right="113"/>
              <w:rPr>
                <w:rFonts w:eastAsia="Times New Roman" w:cs="Times New Roman"/>
                <w:color w:val="000000"/>
                <w:sz w:val="20"/>
                <w:szCs w:val="20"/>
              </w:rPr>
            </w:pPr>
            <w:r>
              <w:rPr>
                <w:rFonts w:eastAsia="Times New Roman" w:cs="Times New Roman"/>
                <w:color w:val="000000"/>
                <w:sz w:val="20"/>
                <w:szCs w:val="20"/>
              </w:rPr>
              <w:t xml:space="preserve">Specific Yield </w:t>
            </w:r>
            <w:r w:rsidR="00B30B10" w:rsidRPr="00B30B10">
              <w:rPr>
                <w:rFonts w:eastAsia="Times New Roman" w:cs="Times New Roman"/>
                <w:color w:val="000000"/>
                <w:sz w:val="20"/>
                <w:szCs w:val="20"/>
              </w:rPr>
              <w:t>(cm</w:t>
            </w:r>
            <w:r w:rsidR="00B30B10" w:rsidRPr="00B30B10">
              <w:rPr>
                <w:rFonts w:eastAsia="Times New Roman" w:cs="Times New Roman"/>
                <w:color w:val="000000"/>
                <w:sz w:val="20"/>
                <w:szCs w:val="20"/>
                <w:vertAlign w:val="superscript"/>
              </w:rPr>
              <w:t>3</w:t>
            </w:r>
            <w:r w:rsidR="00B30B10" w:rsidRPr="00B30B10">
              <w:rPr>
                <w:rFonts w:eastAsia="Times New Roman" w:cs="Times New Roman"/>
                <w:color w:val="000000"/>
                <w:sz w:val="20"/>
                <w:szCs w:val="20"/>
              </w:rPr>
              <w:t xml:space="preserve"> cm</w:t>
            </w:r>
            <w:r w:rsidR="00B30B10" w:rsidRPr="00B30B10">
              <w:rPr>
                <w:rFonts w:eastAsia="Times New Roman" w:cs="Times New Roman"/>
                <w:color w:val="000000"/>
                <w:sz w:val="20"/>
                <w:szCs w:val="20"/>
                <w:vertAlign w:val="superscript"/>
              </w:rPr>
              <w:t>-3</w:t>
            </w:r>
            <w:r w:rsidR="00B30B10" w:rsidRPr="00B30B10">
              <w:rPr>
                <w:rFonts w:eastAsia="Times New Roman" w:cs="Times New Roman"/>
                <w:color w:val="000000"/>
                <w:sz w:val="20"/>
                <w:szCs w:val="20"/>
              </w:rPr>
              <w:t>)</w:t>
            </w:r>
          </w:p>
        </w:tc>
      </w:tr>
      <w:tr w:rsidR="00B30B10" w:rsidRPr="00B30B10" w:rsidTr="00630D17">
        <w:trPr>
          <w:trHeight w:val="300"/>
        </w:trPr>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WSM</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Peaty loam</w:t>
            </w:r>
          </w:p>
        </w:tc>
        <w:tc>
          <w:tcPr>
            <w:tcW w:w="0" w:type="auto"/>
            <w:vAlign w:val="bottom"/>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0–15</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39</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17.1</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26.8</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18.3</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0.44</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1.57</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0.72</w:t>
            </w:r>
          </w:p>
        </w:tc>
        <w:tc>
          <w:tcPr>
            <w:tcW w:w="0" w:type="auto"/>
            <w:vAlign w:val="bottom"/>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1.51</w:t>
            </w:r>
          </w:p>
        </w:tc>
        <w:tc>
          <w:tcPr>
            <w:tcW w:w="0" w:type="auto"/>
            <w:vAlign w:val="bottom"/>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0.24</w:t>
            </w:r>
          </w:p>
        </w:tc>
        <w:tc>
          <w:tcPr>
            <w:tcW w:w="0" w:type="auto"/>
            <w:vAlign w:val="bottom"/>
          </w:tcPr>
          <w:p w:rsidR="00B30B10" w:rsidRPr="00B30B10" w:rsidRDefault="00B30B10" w:rsidP="00630D17">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0.13</w:t>
            </w:r>
          </w:p>
        </w:tc>
      </w:tr>
      <w:tr w:rsidR="00B30B10" w:rsidRPr="00B30B10" w:rsidTr="00630D17">
        <w:trPr>
          <w:trHeight w:val="300"/>
        </w:trPr>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WSM</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Humified peat</w:t>
            </w:r>
          </w:p>
        </w:tc>
        <w:tc>
          <w:tcPr>
            <w:tcW w:w="0" w:type="auto"/>
            <w:vAlign w:val="bottom"/>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35–50</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H8</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60.1</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10.2</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5.9</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37.7</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0.17</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1.33</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0.87</w:t>
            </w:r>
          </w:p>
        </w:tc>
        <w:tc>
          <w:tcPr>
            <w:tcW w:w="0" w:type="auto"/>
            <w:vAlign w:val="bottom"/>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1.55</w:t>
            </w:r>
          </w:p>
        </w:tc>
        <w:tc>
          <w:tcPr>
            <w:tcW w:w="0" w:type="auto"/>
            <w:vAlign w:val="bottom"/>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0.14</w:t>
            </w:r>
          </w:p>
        </w:tc>
        <w:tc>
          <w:tcPr>
            <w:tcW w:w="0" w:type="auto"/>
            <w:vAlign w:val="bottom"/>
          </w:tcPr>
          <w:p w:rsidR="00B30B10" w:rsidRPr="00B30B10" w:rsidRDefault="00B30B10" w:rsidP="00630D17">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0.16</w:t>
            </w:r>
          </w:p>
        </w:tc>
      </w:tr>
      <w:tr w:rsidR="00B30B10" w:rsidRPr="00B30B10" w:rsidTr="00630D17">
        <w:trPr>
          <w:trHeight w:val="300"/>
        </w:trPr>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WSM</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Semi-fibrous peat</w:t>
            </w:r>
          </w:p>
        </w:tc>
        <w:tc>
          <w:tcPr>
            <w:tcW w:w="0" w:type="auto"/>
            <w:vAlign w:val="bottom"/>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85–100</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H6</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69.3</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6.2</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2.5</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41.7</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0.09</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1.24</w:t>
            </w:r>
          </w:p>
        </w:tc>
        <w:tc>
          <w:tcPr>
            <w:tcW w:w="0" w:type="auto"/>
            <w:shd w:val="clear" w:color="auto" w:fill="auto"/>
            <w:noWrap/>
            <w:vAlign w:val="bottom"/>
            <w:hideMark/>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0.92</w:t>
            </w:r>
          </w:p>
        </w:tc>
        <w:tc>
          <w:tcPr>
            <w:tcW w:w="0" w:type="auto"/>
            <w:vAlign w:val="bottom"/>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2.3</w:t>
            </w:r>
          </w:p>
        </w:tc>
        <w:tc>
          <w:tcPr>
            <w:tcW w:w="0" w:type="auto"/>
            <w:vAlign w:val="bottom"/>
          </w:tcPr>
          <w:p w:rsidR="00B30B10" w:rsidRPr="00B30B10" w:rsidRDefault="00B30B10" w:rsidP="00630D17">
            <w:pPr>
              <w:spacing w:after="0" w:line="240" w:lineRule="auto"/>
              <w:jc w:val="center"/>
              <w:rPr>
                <w:rFonts w:eastAsia="Times New Roman" w:cs="Times New Roman"/>
                <w:color w:val="000000"/>
                <w:sz w:val="20"/>
                <w:szCs w:val="20"/>
              </w:rPr>
            </w:pPr>
            <w:r w:rsidRPr="00B30B10">
              <w:rPr>
                <w:rFonts w:eastAsia="Times New Roman" w:cs="Times New Roman"/>
                <w:color w:val="000000"/>
                <w:sz w:val="20"/>
                <w:szCs w:val="20"/>
              </w:rPr>
              <w:t>1.1</w:t>
            </w:r>
          </w:p>
        </w:tc>
        <w:tc>
          <w:tcPr>
            <w:tcW w:w="0" w:type="auto"/>
            <w:vAlign w:val="bottom"/>
          </w:tcPr>
          <w:p w:rsidR="00B30B10" w:rsidRPr="00B30B10" w:rsidRDefault="00B30B10" w:rsidP="00630D17">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0.24</w:t>
            </w:r>
          </w:p>
        </w:tc>
      </w:tr>
    </w:tbl>
    <w:p w:rsidR="00BD4A95" w:rsidRDefault="00BD4A95" w:rsidP="00B423C0">
      <w:pPr>
        <w:jc w:val="both"/>
      </w:pPr>
    </w:p>
    <w:p w:rsidR="00B423C0" w:rsidRDefault="00242135" w:rsidP="00B423C0">
      <w:pPr>
        <w:jc w:val="both"/>
      </w:pPr>
      <w:r>
        <w:t xml:space="preserve">Armstrong </w:t>
      </w:r>
      <w:r w:rsidR="00BD4A95">
        <w:t>(1993</w:t>
      </w:r>
      <w:r w:rsidR="00B423C0">
        <w:t>) reported specific yield values of 0.</w:t>
      </w:r>
      <w:r w:rsidR="00BD4A95">
        <w:t>05</w:t>
      </w:r>
      <w:r w:rsidR="00B423C0">
        <w:t xml:space="preserve"> for the Somerset Levels</w:t>
      </w:r>
      <w:r w:rsidR="00B10C2D">
        <w:t xml:space="preserve"> and Moors</w:t>
      </w:r>
      <w:r w:rsidR="00B423C0">
        <w:t xml:space="preserve"> from an analysis of water level fluctuations. Values in the range 0.18 to 0.22 have been obtained for herbaceous peat using the same method in other loca</w:t>
      </w:r>
      <w:r w:rsidR="002E6AB6">
        <w:t>tions (Bradley and Brown, 1995)</w:t>
      </w:r>
      <w:r w:rsidR="00B423C0">
        <w:t xml:space="preserve">. </w:t>
      </w:r>
      <w:r w:rsidR="002E6AB6">
        <w:t xml:space="preserve">Armstrong and Rose (1999) carried out water level modelling at Southlake Moor and used a value of 0.15 for the porosity (understood to be drainable porosity in this case) of the peat and a hydraulic conductivity of 1 m/d. </w:t>
      </w:r>
      <w:r w:rsidR="004D790A">
        <w:t xml:space="preserve">Like Dawson (2006) and </w:t>
      </w:r>
      <w:r w:rsidR="003B2ACF" w:rsidRPr="00144350">
        <w:rPr>
          <w:rFonts w:cs="AdvTT5235d5a9"/>
          <w:color w:val="231F20"/>
        </w:rPr>
        <w:t>Kechavarzi</w:t>
      </w:r>
      <w:r w:rsidR="003B2ACF">
        <w:rPr>
          <w:rFonts w:cs="AdvTT5235d5a9"/>
          <w:color w:val="231F20"/>
        </w:rPr>
        <w:t xml:space="preserve"> (2010), Armstrong </w:t>
      </w:r>
      <w:r w:rsidR="00BD4A95">
        <w:rPr>
          <w:rFonts w:cs="AdvTT5235d5a9"/>
          <w:color w:val="231F20"/>
        </w:rPr>
        <w:t>and Rose (1999) note</w:t>
      </w:r>
      <w:r w:rsidR="003B2ACF">
        <w:rPr>
          <w:rFonts w:cs="AdvTT5235d5a9"/>
          <w:color w:val="231F20"/>
        </w:rPr>
        <w:t xml:space="preserve"> a two layer system with a permeable peaty subsoil overlain in places by a less permeable peaty silty topsoil. The soil parameters used for this top layer were porosity of 0.12 and hydraulic conductivity of 0.08 m/d.</w:t>
      </w:r>
      <w:r w:rsidR="003B2ACF">
        <w:t xml:space="preserve"> </w:t>
      </w:r>
      <w:r w:rsidR="00B423C0">
        <w:t>A trial application of a MODFLOW groundwater model to Tadham Moor found a reasonable calibration was achieved using a specific yield of 0.2 and hydraulic conductivity of 2 m/d (Bradford, 2004).</w:t>
      </w:r>
      <w:r w:rsidR="002E6AB6">
        <w:t xml:space="preserve"> Bradford (2004) </w:t>
      </w:r>
      <w:r w:rsidR="004D790A">
        <w:t xml:space="preserve">also </w:t>
      </w:r>
      <w:r w:rsidR="002E6AB6">
        <w:t>noted that ‘In general, specific yield values as high as 0.2 to 0.3 are generally considered typical, although there is a lack of information relating to peat deposits’</w:t>
      </w:r>
      <w:r w:rsidR="004D790A">
        <w:t>.</w:t>
      </w:r>
    </w:p>
    <w:p w:rsidR="003B2ACF" w:rsidRDefault="003B2ACF" w:rsidP="003555DD">
      <w:pPr>
        <w:pStyle w:val="Caption"/>
        <w:keepNext/>
        <w:rPr>
          <w:b w:val="0"/>
          <w:color w:val="auto"/>
          <w:sz w:val="22"/>
          <w:szCs w:val="22"/>
        </w:rPr>
      </w:pPr>
      <w:r>
        <w:rPr>
          <w:b w:val="0"/>
          <w:color w:val="auto"/>
          <w:sz w:val="22"/>
          <w:szCs w:val="22"/>
        </w:rPr>
        <w:lastRenderedPageBreak/>
        <w:t xml:space="preserve">Various measurements of the specific yield of peat have been made in other studies and these </w:t>
      </w:r>
      <w:r w:rsidR="009F5D32">
        <w:rPr>
          <w:b w:val="0"/>
          <w:color w:val="auto"/>
          <w:sz w:val="22"/>
          <w:szCs w:val="22"/>
        </w:rPr>
        <w:t>are summarised below in table 8</w:t>
      </w:r>
      <w:r>
        <w:rPr>
          <w:b w:val="0"/>
          <w:color w:val="auto"/>
          <w:sz w:val="22"/>
          <w:szCs w:val="22"/>
        </w:rPr>
        <w:t xml:space="preserve">. </w:t>
      </w:r>
    </w:p>
    <w:p w:rsidR="006C6285" w:rsidRPr="006C6285" w:rsidRDefault="006C6285" w:rsidP="006C6285">
      <w:pPr>
        <w:pStyle w:val="Caption"/>
        <w:keepNext/>
        <w:rPr>
          <w:b w:val="0"/>
          <w:color w:val="auto"/>
          <w:sz w:val="22"/>
          <w:szCs w:val="22"/>
        </w:rPr>
      </w:pPr>
      <w:r w:rsidRPr="006C6285">
        <w:rPr>
          <w:b w:val="0"/>
          <w:color w:val="auto"/>
          <w:sz w:val="22"/>
          <w:szCs w:val="22"/>
        </w:rPr>
        <w:t xml:space="preserve">Table </w:t>
      </w:r>
      <w:r w:rsidR="00251534" w:rsidRPr="006C6285">
        <w:rPr>
          <w:b w:val="0"/>
          <w:color w:val="auto"/>
          <w:sz w:val="22"/>
          <w:szCs w:val="22"/>
        </w:rPr>
        <w:fldChar w:fldCharType="begin"/>
      </w:r>
      <w:r w:rsidRPr="006C6285">
        <w:rPr>
          <w:b w:val="0"/>
          <w:color w:val="auto"/>
          <w:sz w:val="22"/>
          <w:szCs w:val="22"/>
        </w:rPr>
        <w:instrText xml:space="preserve"> SEQ Table \* ARABIC </w:instrText>
      </w:r>
      <w:r w:rsidR="00251534" w:rsidRPr="006C6285">
        <w:rPr>
          <w:b w:val="0"/>
          <w:color w:val="auto"/>
          <w:sz w:val="22"/>
          <w:szCs w:val="22"/>
        </w:rPr>
        <w:fldChar w:fldCharType="separate"/>
      </w:r>
      <w:r w:rsidR="000E193B">
        <w:rPr>
          <w:b w:val="0"/>
          <w:noProof/>
          <w:color w:val="auto"/>
          <w:sz w:val="22"/>
          <w:szCs w:val="22"/>
        </w:rPr>
        <w:t>8</w:t>
      </w:r>
      <w:r w:rsidR="00251534" w:rsidRPr="006C6285">
        <w:rPr>
          <w:b w:val="0"/>
          <w:color w:val="auto"/>
          <w:sz w:val="22"/>
          <w:szCs w:val="22"/>
        </w:rPr>
        <w:fldChar w:fldCharType="end"/>
      </w:r>
      <w:r w:rsidR="00F54328">
        <w:rPr>
          <w:b w:val="0"/>
          <w:color w:val="auto"/>
          <w:sz w:val="22"/>
          <w:szCs w:val="22"/>
        </w:rPr>
        <w:t>.</w:t>
      </w:r>
      <w:r w:rsidRPr="006C6285">
        <w:rPr>
          <w:b w:val="0"/>
          <w:color w:val="auto"/>
          <w:sz w:val="22"/>
          <w:szCs w:val="22"/>
        </w:rPr>
        <w:t xml:space="preserve"> Summary of other studies reporting peat porosity and/or specific yield</w:t>
      </w:r>
      <w:r w:rsidR="00DA5F29">
        <w:rPr>
          <w:b w:val="0"/>
          <w:color w:val="auto"/>
          <w:sz w:val="22"/>
          <w:szCs w:val="22"/>
        </w:rPr>
        <w:t>.</w:t>
      </w:r>
    </w:p>
    <w:tbl>
      <w:tblPr>
        <w:tblStyle w:val="TableGrid"/>
        <w:tblW w:w="0" w:type="auto"/>
        <w:tblLook w:val="04A0" w:firstRow="1" w:lastRow="0" w:firstColumn="1" w:lastColumn="0" w:noHBand="0" w:noVBand="1"/>
      </w:tblPr>
      <w:tblGrid>
        <w:gridCol w:w="1242"/>
        <w:gridCol w:w="1734"/>
        <w:gridCol w:w="2094"/>
        <w:gridCol w:w="1559"/>
        <w:gridCol w:w="1031"/>
        <w:gridCol w:w="1582"/>
      </w:tblGrid>
      <w:tr w:rsidR="003B2ACF" w:rsidRPr="003B2ACF" w:rsidTr="003B2ACF">
        <w:tc>
          <w:tcPr>
            <w:tcW w:w="1242" w:type="dxa"/>
          </w:tcPr>
          <w:p w:rsidR="003B2ACF" w:rsidRDefault="003B2ACF" w:rsidP="003555DD">
            <w:pPr>
              <w:pStyle w:val="Caption"/>
              <w:keepNext/>
              <w:rPr>
                <w:color w:val="auto"/>
                <w:sz w:val="22"/>
                <w:szCs w:val="22"/>
              </w:rPr>
            </w:pPr>
            <w:r>
              <w:rPr>
                <w:color w:val="auto"/>
                <w:sz w:val="22"/>
                <w:szCs w:val="22"/>
              </w:rPr>
              <w:t>Reference</w:t>
            </w:r>
          </w:p>
        </w:tc>
        <w:tc>
          <w:tcPr>
            <w:tcW w:w="1734" w:type="dxa"/>
          </w:tcPr>
          <w:p w:rsidR="003B2ACF" w:rsidRPr="003B2ACF" w:rsidRDefault="003B2ACF" w:rsidP="003555DD">
            <w:pPr>
              <w:pStyle w:val="Caption"/>
              <w:keepNext/>
              <w:rPr>
                <w:color w:val="auto"/>
                <w:sz w:val="22"/>
                <w:szCs w:val="22"/>
              </w:rPr>
            </w:pPr>
            <w:r>
              <w:rPr>
                <w:color w:val="auto"/>
                <w:sz w:val="22"/>
                <w:szCs w:val="22"/>
              </w:rPr>
              <w:t>Country</w:t>
            </w:r>
          </w:p>
        </w:tc>
        <w:tc>
          <w:tcPr>
            <w:tcW w:w="2094" w:type="dxa"/>
          </w:tcPr>
          <w:p w:rsidR="003B2ACF" w:rsidRPr="003B2ACF" w:rsidRDefault="003B2ACF" w:rsidP="003555DD">
            <w:pPr>
              <w:pStyle w:val="Caption"/>
              <w:keepNext/>
              <w:rPr>
                <w:color w:val="auto"/>
                <w:sz w:val="22"/>
                <w:szCs w:val="22"/>
              </w:rPr>
            </w:pPr>
            <w:r>
              <w:rPr>
                <w:color w:val="auto"/>
                <w:sz w:val="22"/>
                <w:szCs w:val="22"/>
              </w:rPr>
              <w:t>Sample Description</w:t>
            </w:r>
          </w:p>
        </w:tc>
        <w:tc>
          <w:tcPr>
            <w:tcW w:w="1559" w:type="dxa"/>
          </w:tcPr>
          <w:p w:rsidR="003B2ACF" w:rsidRPr="003B2ACF" w:rsidRDefault="003B2ACF" w:rsidP="003555DD">
            <w:pPr>
              <w:pStyle w:val="Caption"/>
              <w:keepNext/>
              <w:rPr>
                <w:color w:val="auto"/>
                <w:sz w:val="22"/>
                <w:szCs w:val="22"/>
              </w:rPr>
            </w:pPr>
            <w:r>
              <w:rPr>
                <w:color w:val="auto"/>
                <w:sz w:val="22"/>
                <w:szCs w:val="22"/>
              </w:rPr>
              <w:t>Sample Depth</w:t>
            </w:r>
          </w:p>
        </w:tc>
        <w:tc>
          <w:tcPr>
            <w:tcW w:w="1031" w:type="dxa"/>
          </w:tcPr>
          <w:p w:rsidR="003B2ACF" w:rsidRPr="003B2ACF" w:rsidRDefault="003B2ACF" w:rsidP="003555DD">
            <w:pPr>
              <w:pStyle w:val="Caption"/>
              <w:keepNext/>
              <w:rPr>
                <w:color w:val="auto"/>
                <w:sz w:val="22"/>
                <w:szCs w:val="22"/>
              </w:rPr>
            </w:pPr>
            <w:r>
              <w:rPr>
                <w:color w:val="auto"/>
                <w:sz w:val="22"/>
                <w:szCs w:val="22"/>
              </w:rPr>
              <w:t>Porosity</w:t>
            </w:r>
          </w:p>
        </w:tc>
        <w:tc>
          <w:tcPr>
            <w:tcW w:w="1582" w:type="dxa"/>
          </w:tcPr>
          <w:p w:rsidR="003B2ACF" w:rsidRPr="003B2ACF" w:rsidRDefault="003B2ACF" w:rsidP="003555DD">
            <w:pPr>
              <w:pStyle w:val="Caption"/>
              <w:keepNext/>
              <w:rPr>
                <w:color w:val="auto"/>
                <w:sz w:val="22"/>
                <w:szCs w:val="22"/>
              </w:rPr>
            </w:pPr>
            <w:r>
              <w:rPr>
                <w:color w:val="auto"/>
                <w:sz w:val="22"/>
                <w:szCs w:val="22"/>
              </w:rPr>
              <w:t>Specific Yield</w:t>
            </w:r>
          </w:p>
        </w:tc>
      </w:tr>
      <w:tr w:rsidR="003B2ACF" w:rsidTr="003B2ACF">
        <w:tc>
          <w:tcPr>
            <w:tcW w:w="1242" w:type="dxa"/>
          </w:tcPr>
          <w:p w:rsidR="003B2ACF" w:rsidRDefault="003B2ACF" w:rsidP="00CE1CD0">
            <w:pPr>
              <w:pStyle w:val="Caption"/>
              <w:keepNext/>
              <w:rPr>
                <w:b w:val="0"/>
                <w:color w:val="auto"/>
                <w:sz w:val="22"/>
                <w:szCs w:val="22"/>
              </w:rPr>
            </w:pPr>
            <w:r>
              <w:rPr>
                <w:b w:val="0"/>
                <w:color w:val="auto"/>
                <w:sz w:val="22"/>
                <w:szCs w:val="22"/>
              </w:rPr>
              <w:t xml:space="preserve">Price </w:t>
            </w:r>
            <w:r w:rsidRPr="006C6285">
              <w:rPr>
                <w:b w:val="0"/>
                <w:i/>
                <w:color w:val="auto"/>
                <w:sz w:val="22"/>
                <w:szCs w:val="22"/>
              </w:rPr>
              <w:t>et al</w:t>
            </w:r>
            <w:r w:rsidR="006C6285">
              <w:rPr>
                <w:b w:val="0"/>
                <w:i/>
                <w:color w:val="auto"/>
                <w:sz w:val="22"/>
                <w:szCs w:val="22"/>
              </w:rPr>
              <w:t>.</w:t>
            </w:r>
            <w:r>
              <w:rPr>
                <w:b w:val="0"/>
                <w:color w:val="auto"/>
                <w:sz w:val="22"/>
                <w:szCs w:val="22"/>
              </w:rPr>
              <w:t>,</w:t>
            </w:r>
            <w:r w:rsidR="00CE1CD0">
              <w:rPr>
                <w:b w:val="0"/>
                <w:color w:val="auto"/>
                <w:sz w:val="22"/>
                <w:szCs w:val="22"/>
              </w:rPr>
              <w:t xml:space="preserve"> 2003.</w:t>
            </w:r>
          </w:p>
        </w:tc>
        <w:tc>
          <w:tcPr>
            <w:tcW w:w="1734" w:type="dxa"/>
          </w:tcPr>
          <w:p w:rsidR="003B2ACF" w:rsidRDefault="003B2ACF" w:rsidP="003555DD">
            <w:pPr>
              <w:pStyle w:val="Caption"/>
              <w:keepNext/>
              <w:rPr>
                <w:b w:val="0"/>
                <w:color w:val="auto"/>
                <w:sz w:val="22"/>
                <w:szCs w:val="22"/>
              </w:rPr>
            </w:pPr>
            <w:r>
              <w:rPr>
                <w:b w:val="0"/>
                <w:color w:val="auto"/>
                <w:sz w:val="22"/>
                <w:szCs w:val="22"/>
              </w:rPr>
              <w:t>The Netherlands</w:t>
            </w:r>
          </w:p>
        </w:tc>
        <w:tc>
          <w:tcPr>
            <w:tcW w:w="2094" w:type="dxa"/>
          </w:tcPr>
          <w:p w:rsidR="003B2ACF" w:rsidRPr="003B2ACF" w:rsidRDefault="003B2ACF" w:rsidP="003555DD">
            <w:pPr>
              <w:pStyle w:val="Caption"/>
              <w:keepNext/>
              <w:rPr>
                <w:b w:val="0"/>
                <w:i/>
                <w:color w:val="auto"/>
                <w:sz w:val="22"/>
                <w:szCs w:val="22"/>
              </w:rPr>
            </w:pPr>
            <w:r>
              <w:rPr>
                <w:b w:val="0"/>
                <w:color w:val="auto"/>
                <w:sz w:val="22"/>
                <w:szCs w:val="22"/>
              </w:rPr>
              <w:t xml:space="preserve">Young living </w:t>
            </w:r>
            <w:r>
              <w:rPr>
                <w:b w:val="0"/>
                <w:i/>
                <w:color w:val="auto"/>
                <w:sz w:val="22"/>
                <w:szCs w:val="22"/>
              </w:rPr>
              <w:t>Sphagnum</w:t>
            </w:r>
          </w:p>
        </w:tc>
        <w:tc>
          <w:tcPr>
            <w:tcW w:w="1559" w:type="dxa"/>
          </w:tcPr>
          <w:p w:rsidR="003B2ACF" w:rsidRDefault="003B2ACF" w:rsidP="003555DD">
            <w:pPr>
              <w:pStyle w:val="Caption"/>
              <w:keepNext/>
              <w:rPr>
                <w:b w:val="0"/>
                <w:color w:val="auto"/>
                <w:sz w:val="22"/>
                <w:szCs w:val="22"/>
              </w:rPr>
            </w:pPr>
            <w:r>
              <w:rPr>
                <w:b w:val="0"/>
                <w:color w:val="auto"/>
                <w:sz w:val="22"/>
                <w:szCs w:val="22"/>
              </w:rPr>
              <w:t>0 – 15 cm</w:t>
            </w:r>
          </w:p>
        </w:tc>
        <w:tc>
          <w:tcPr>
            <w:tcW w:w="1031" w:type="dxa"/>
          </w:tcPr>
          <w:p w:rsidR="003B2ACF" w:rsidRDefault="003B2ACF" w:rsidP="003555DD">
            <w:pPr>
              <w:pStyle w:val="Caption"/>
              <w:keepNext/>
              <w:rPr>
                <w:b w:val="0"/>
                <w:color w:val="auto"/>
                <w:sz w:val="22"/>
                <w:szCs w:val="22"/>
              </w:rPr>
            </w:pPr>
            <w:r>
              <w:rPr>
                <w:b w:val="0"/>
                <w:color w:val="auto"/>
                <w:sz w:val="22"/>
                <w:szCs w:val="22"/>
              </w:rPr>
              <w:t>-</w:t>
            </w:r>
          </w:p>
        </w:tc>
        <w:tc>
          <w:tcPr>
            <w:tcW w:w="1582" w:type="dxa"/>
          </w:tcPr>
          <w:p w:rsidR="003B2ACF" w:rsidRDefault="003B2ACF" w:rsidP="003555DD">
            <w:pPr>
              <w:pStyle w:val="Caption"/>
              <w:keepNext/>
              <w:rPr>
                <w:b w:val="0"/>
                <w:color w:val="auto"/>
                <w:sz w:val="22"/>
                <w:szCs w:val="22"/>
              </w:rPr>
            </w:pPr>
            <w:r>
              <w:rPr>
                <w:b w:val="0"/>
                <w:color w:val="auto"/>
                <w:sz w:val="22"/>
                <w:szCs w:val="22"/>
              </w:rPr>
              <w:t>0.23 to 0.34</w:t>
            </w:r>
          </w:p>
        </w:tc>
      </w:tr>
      <w:tr w:rsidR="003B2ACF" w:rsidTr="003B2ACF">
        <w:tc>
          <w:tcPr>
            <w:tcW w:w="1242" w:type="dxa"/>
          </w:tcPr>
          <w:p w:rsidR="003B2ACF" w:rsidRDefault="00CE1CD0" w:rsidP="003555DD">
            <w:pPr>
              <w:pStyle w:val="Caption"/>
              <w:keepNext/>
              <w:rPr>
                <w:b w:val="0"/>
                <w:color w:val="auto"/>
                <w:sz w:val="22"/>
                <w:szCs w:val="22"/>
              </w:rPr>
            </w:pPr>
            <w:r>
              <w:rPr>
                <w:b w:val="0"/>
                <w:color w:val="auto"/>
                <w:sz w:val="22"/>
                <w:szCs w:val="22"/>
              </w:rPr>
              <w:t xml:space="preserve">Price </w:t>
            </w:r>
            <w:r w:rsidRPr="006C6285">
              <w:rPr>
                <w:b w:val="0"/>
                <w:i/>
                <w:color w:val="auto"/>
                <w:sz w:val="22"/>
                <w:szCs w:val="22"/>
              </w:rPr>
              <w:t>et al</w:t>
            </w:r>
            <w:r>
              <w:rPr>
                <w:b w:val="0"/>
                <w:i/>
                <w:color w:val="auto"/>
                <w:sz w:val="22"/>
                <w:szCs w:val="22"/>
              </w:rPr>
              <w:t>.</w:t>
            </w:r>
            <w:r>
              <w:rPr>
                <w:b w:val="0"/>
                <w:color w:val="auto"/>
                <w:sz w:val="22"/>
                <w:szCs w:val="22"/>
              </w:rPr>
              <w:t>, 2003.</w:t>
            </w:r>
          </w:p>
        </w:tc>
        <w:tc>
          <w:tcPr>
            <w:tcW w:w="1734" w:type="dxa"/>
          </w:tcPr>
          <w:p w:rsidR="003B2ACF" w:rsidRDefault="003B2ACF" w:rsidP="003B2ACF">
            <w:pPr>
              <w:pStyle w:val="Caption"/>
              <w:keepNext/>
              <w:rPr>
                <w:b w:val="0"/>
                <w:color w:val="auto"/>
                <w:sz w:val="22"/>
                <w:szCs w:val="22"/>
              </w:rPr>
            </w:pPr>
            <w:r>
              <w:rPr>
                <w:b w:val="0"/>
                <w:color w:val="auto"/>
                <w:sz w:val="22"/>
                <w:szCs w:val="22"/>
              </w:rPr>
              <w:t>The Netherlands</w:t>
            </w:r>
          </w:p>
        </w:tc>
        <w:tc>
          <w:tcPr>
            <w:tcW w:w="2094" w:type="dxa"/>
          </w:tcPr>
          <w:p w:rsidR="003B2ACF" w:rsidRDefault="003B2ACF" w:rsidP="003555DD">
            <w:pPr>
              <w:pStyle w:val="Caption"/>
              <w:keepNext/>
              <w:rPr>
                <w:b w:val="0"/>
                <w:color w:val="auto"/>
                <w:sz w:val="22"/>
                <w:szCs w:val="22"/>
              </w:rPr>
            </w:pPr>
            <w:r>
              <w:rPr>
                <w:b w:val="0"/>
                <w:color w:val="auto"/>
                <w:sz w:val="22"/>
                <w:szCs w:val="22"/>
              </w:rPr>
              <w:t xml:space="preserve">Slightly humified </w:t>
            </w:r>
            <w:r>
              <w:rPr>
                <w:b w:val="0"/>
                <w:i/>
                <w:color w:val="auto"/>
                <w:sz w:val="22"/>
                <w:szCs w:val="22"/>
              </w:rPr>
              <w:t>Sphagnum</w:t>
            </w:r>
          </w:p>
        </w:tc>
        <w:tc>
          <w:tcPr>
            <w:tcW w:w="1559" w:type="dxa"/>
          </w:tcPr>
          <w:p w:rsidR="003B2ACF" w:rsidRDefault="003B2ACF" w:rsidP="003555DD">
            <w:pPr>
              <w:pStyle w:val="Caption"/>
              <w:keepNext/>
              <w:rPr>
                <w:b w:val="0"/>
                <w:color w:val="auto"/>
                <w:sz w:val="22"/>
                <w:szCs w:val="22"/>
              </w:rPr>
            </w:pPr>
            <w:r>
              <w:rPr>
                <w:b w:val="0"/>
                <w:color w:val="auto"/>
                <w:sz w:val="22"/>
                <w:szCs w:val="22"/>
              </w:rPr>
              <w:t>10 – 30 cm</w:t>
            </w:r>
          </w:p>
        </w:tc>
        <w:tc>
          <w:tcPr>
            <w:tcW w:w="1031" w:type="dxa"/>
          </w:tcPr>
          <w:p w:rsidR="003B2ACF" w:rsidRDefault="003B2ACF" w:rsidP="003555DD">
            <w:pPr>
              <w:pStyle w:val="Caption"/>
              <w:keepNext/>
              <w:rPr>
                <w:b w:val="0"/>
                <w:color w:val="auto"/>
                <w:sz w:val="22"/>
                <w:szCs w:val="22"/>
              </w:rPr>
            </w:pPr>
          </w:p>
        </w:tc>
        <w:tc>
          <w:tcPr>
            <w:tcW w:w="1582" w:type="dxa"/>
          </w:tcPr>
          <w:p w:rsidR="003B2ACF" w:rsidRDefault="003B2ACF" w:rsidP="003555DD">
            <w:pPr>
              <w:pStyle w:val="Caption"/>
              <w:keepNext/>
              <w:rPr>
                <w:b w:val="0"/>
                <w:color w:val="auto"/>
                <w:sz w:val="22"/>
                <w:szCs w:val="22"/>
              </w:rPr>
            </w:pPr>
            <w:r>
              <w:rPr>
                <w:b w:val="0"/>
                <w:color w:val="auto"/>
                <w:sz w:val="22"/>
                <w:szCs w:val="22"/>
              </w:rPr>
              <w:t>0.11 to 0.17</w:t>
            </w:r>
          </w:p>
        </w:tc>
      </w:tr>
      <w:tr w:rsidR="003B2ACF" w:rsidTr="003B2ACF">
        <w:tc>
          <w:tcPr>
            <w:tcW w:w="1242" w:type="dxa"/>
          </w:tcPr>
          <w:p w:rsidR="003B2ACF" w:rsidRDefault="00CE1CD0" w:rsidP="003555DD">
            <w:pPr>
              <w:pStyle w:val="Caption"/>
              <w:keepNext/>
              <w:rPr>
                <w:b w:val="0"/>
                <w:color w:val="auto"/>
                <w:sz w:val="22"/>
                <w:szCs w:val="22"/>
              </w:rPr>
            </w:pPr>
            <w:r>
              <w:rPr>
                <w:b w:val="0"/>
                <w:color w:val="auto"/>
                <w:sz w:val="22"/>
                <w:szCs w:val="22"/>
              </w:rPr>
              <w:t xml:space="preserve">Price </w:t>
            </w:r>
            <w:r w:rsidRPr="006C6285">
              <w:rPr>
                <w:b w:val="0"/>
                <w:i/>
                <w:color w:val="auto"/>
                <w:sz w:val="22"/>
                <w:szCs w:val="22"/>
              </w:rPr>
              <w:t>et al</w:t>
            </w:r>
            <w:r>
              <w:rPr>
                <w:b w:val="0"/>
                <w:i/>
                <w:color w:val="auto"/>
                <w:sz w:val="22"/>
                <w:szCs w:val="22"/>
              </w:rPr>
              <w:t>.</w:t>
            </w:r>
            <w:r>
              <w:rPr>
                <w:b w:val="0"/>
                <w:color w:val="auto"/>
                <w:sz w:val="22"/>
                <w:szCs w:val="22"/>
              </w:rPr>
              <w:t>, 2003.</w:t>
            </w:r>
          </w:p>
        </w:tc>
        <w:tc>
          <w:tcPr>
            <w:tcW w:w="1734" w:type="dxa"/>
          </w:tcPr>
          <w:p w:rsidR="003B2ACF" w:rsidRDefault="003B2ACF" w:rsidP="003B2ACF">
            <w:pPr>
              <w:pStyle w:val="Caption"/>
              <w:keepNext/>
              <w:rPr>
                <w:b w:val="0"/>
                <w:color w:val="auto"/>
                <w:sz w:val="22"/>
                <w:szCs w:val="22"/>
              </w:rPr>
            </w:pPr>
            <w:r>
              <w:rPr>
                <w:b w:val="0"/>
                <w:color w:val="auto"/>
                <w:sz w:val="22"/>
                <w:szCs w:val="22"/>
              </w:rPr>
              <w:t>The Netherlands</w:t>
            </w:r>
          </w:p>
        </w:tc>
        <w:tc>
          <w:tcPr>
            <w:tcW w:w="2094" w:type="dxa"/>
          </w:tcPr>
          <w:p w:rsidR="003B2ACF" w:rsidRDefault="003B2ACF" w:rsidP="003555DD">
            <w:pPr>
              <w:pStyle w:val="Caption"/>
              <w:keepNext/>
              <w:rPr>
                <w:b w:val="0"/>
                <w:color w:val="auto"/>
                <w:sz w:val="22"/>
                <w:szCs w:val="22"/>
              </w:rPr>
            </w:pPr>
            <w:r>
              <w:rPr>
                <w:b w:val="0"/>
                <w:color w:val="auto"/>
                <w:sz w:val="22"/>
                <w:szCs w:val="22"/>
              </w:rPr>
              <w:t xml:space="preserve">Moderately humified </w:t>
            </w:r>
            <w:r>
              <w:rPr>
                <w:b w:val="0"/>
                <w:i/>
                <w:color w:val="auto"/>
                <w:sz w:val="22"/>
                <w:szCs w:val="22"/>
              </w:rPr>
              <w:t>Sphagnum</w:t>
            </w:r>
          </w:p>
        </w:tc>
        <w:tc>
          <w:tcPr>
            <w:tcW w:w="1559" w:type="dxa"/>
          </w:tcPr>
          <w:p w:rsidR="003B2ACF" w:rsidRDefault="003B2ACF" w:rsidP="003555DD">
            <w:pPr>
              <w:pStyle w:val="Caption"/>
              <w:keepNext/>
              <w:rPr>
                <w:b w:val="0"/>
                <w:color w:val="auto"/>
                <w:sz w:val="22"/>
                <w:szCs w:val="22"/>
              </w:rPr>
            </w:pPr>
            <w:r>
              <w:rPr>
                <w:b w:val="0"/>
                <w:color w:val="auto"/>
                <w:sz w:val="22"/>
                <w:szCs w:val="22"/>
              </w:rPr>
              <w:t>0 to 40 cm</w:t>
            </w:r>
          </w:p>
        </w:tc>
        <w:tc>
          <w:tcPr>
            <w:tcW w:w="1031" w:type="dxa"/>
          </w:tcPr>
          <w:p w:rsidR="003B2ACF" w:rsidRDefault="003B2ACF" w:rsidP="003555DD">
            <w:pPr>
              <w:pStyle w:val="Caption"/>
              <w:keepNext/>
              <w:rPr>
                <w:b w:val="0"/>
                <w:color w:val="auto"/>
                <w:sz w:val="22"/>
                <w:szCs w:val="22"/>
              </w:rPr>
            </w:pPr>
          </w:p>
        </w:tc>
        <w:tc>
          <w:tcPr>
            <w:tcW w:w="1582" w:type="dxa"/>
          </w:tcPr>
          <w:p w:rsidR="003B2ACF" w:rsidRDefault="003B2ACF" w:rsidP="003555DD">
            <w:pPr>
              <w:pStyle w:val="Caption"/>
              <w:keepNext/>
              <w:rPr>
                <w:b w:val="0"/>
                <w:color w:val="auto"/>
                <w:sz w:val="22"/>
                <w:szCs w:val="22"/>
              </w:rPr>
            </w:pPr>
            <w:r>
              <w:rPr>
                <w:b w:val="0"/>
                <w:color w:val="auto"/>
                <w:sz w:val="22"/>
                <w:szCs w:val="22"/>
              </w:rPr>
              <w:t>0.11 to 0.13</w:t>
            </w:r>
          </w:p>
        </w:tc>
      </w:tr>
      <w:tr w:rsidR="003B2ACF" w:rsidTr="003B2ACF">
        <w:tc>
          <w:tcPr>
            <w:tcW w:w="1242" w:type="dxa"/>
          </w:tcPr>
          <w:p w:rsidR="003B2ACF" w:rsidRDefault="00CE1CD0" w:rsidP="003555DD">
            <w:pPr>
              <w:pStyle w:val="Caption"/>
              <w:keepNext/>
              <w:rPr>
                <w:b w:val="0"/>
                <w:color w:val="auto"/>
                <w:sz w:val="22"/>
                <w:szCs w:val="22"/>
              </w:rPr>
            </w:pPr>
            <w:r>
              <w:rPr>
                <w:b w:val="0"/>
                <w:color w:val="auto"/>
                <w:sz w:val="22"/>
                <w:szCs w:val="22"/>
              </w:rPr>
              <w:t xml:space="preserve">Price </w:t>
            </w:r>
            <w:r w:rsidRPr="006C6285">
              <w:rPr>
                <w:b w:val="0"/>
                <w:i/>
                <w:color w:val="auto"/>
                <w:sz w:val="22"/>
                <w:szCs w:val="22"/>
              </w:rPr>
              <w:t>et al</w:t>
            </w:r>
            <w:r>
              <w:rPr>
                <w:b w:val="0"/>
                <w:i/>
                <w:color w:val="auto"/>
                <w:sz w:val="22"/>
                <w:szCs w:val="22"/>
              </w:rPr>
              <w:t>.</w:t>
            </w:r>
            <w:r>
              <w:rPr>
                <w:b w:val="0"/>
                <w:color w:val="auto"/>
                <w:sz w:val="22"/>
                <w:szCs w:val="22"/>
              </w:rPr>
              <w:t>, 2003.</w:t>
            </w:r>
          </w:p>
        </w:tc>
        <w:tc>
          <w:tcPr>
            <w:tcW w:w="1734" w:type="dxa"/>
          </w:tcPr>
          <w:p w:rsidR="003B2ACF" w:rsidRDefault="003B2ACF" w:rsidP="003B2ACF">
            <w:pPr>
              <w:pStyle w:val="Caption"/>
              <w:keepNext/>
              <w:rPr>
                <w:b w:val="0"/>
                <w:color w:val="auto"/>
                <w:sz w:val="22"/>
                <w:szCs w:val="22"/>
              </w:rPr>
            </w:pPr>
            <w:r>
              <w:rPr>
                <w:b w:val="0"/>
                <w:color w:val="auto"/>
                <w:sz w:val="22"/>
                <w:szCs w:val="22"/>
              </w:rPr>
              <w:t>The Netherlands</w:t>
            </w:r>
          </w:p>
        </w:tc>
        <w:tc>
          <w:tcPr>
            <w:tcW w:w="2094" w:type="dxa"/>
          </w:tcPr>
          <w:p w:rsidR="003B2ACF" w:rsidRDefault="003B2ACF" w:rsidP="003555DD">
            <w:pPr>
              <w:pStyle w:val="Caption"/>
              <w:keepNext/>
              <w:rPr>
                <w:b w:val="0"/>
                <w:color w:val="auto"/>
                <w:sz w:val="22"/>
                <w:szCs w:val="22"/>
              </w:rPr>
            </w:pPr>
            <w:r>
              <w:rPr>
                <w:b w:val="0"/>
                <w:color w:val="auto"/>
                <w:sz w:val="22"/>
                <w:szCs w:val="22"/>
              </w:rPr>
              <w:t xml:space="preserve">Strongly humified </w:t>
            </w:r>
            <w:r>
              <w:rPr>
                <w:b w:val="0"/>
                <w:i/>
                <w:color w:val="auto"/>
                <w:sz w:val="22"/>
                <w:szCs w:val="22"/>
              </w:rPr>
              <w:t>Sphagnum</w:t>
            </w:r>
          </w:p>
        </w:tc>
        <w:tc>
          <w:tcPr>
            <w:tcW w:w="1559" w:type="dxa"/>
          </w:tcPr>
          <w:p w:rsidR="003B2ACF" w:rsidRDefault="003B2ACF" w:rsidP="003555DD">
            <w:pPr>
              <w:pStyle w:val="Caption"/>
              <w:keepNext/>
              <w:rPr>
                <w:b w:val="0"/>
                <w:color w:val="auto"/>
                <w:sz w:val="22"/>
                <w:szCs w:val="22"/>
              </w:rPr>
            </w:pPr>
            <w:r>
              <w:rPr>
                <w:b w:val="0"/>
                <w:color w:val="auto"/>
                <w:sz w:val="22"/>
                <w:szCs w:val="22"/>
              </w:rPr>
              <w:t>0 to 35 cm</w:t>
            </w:r>
          </w:p>
        </w:tc>
        <w:tc>
          <w:tcPr>
            <w:tcW w:w="1031" w:type="dxa"/>
          </w:tcPr>
          <w:p w:rsidR="003B2ACF" w:rsidRDefault="003B2ACF" w:rsidP="003555DD">
            <w:pPr>
              <w:pStyle w:val="Caption"/>
              <w:keepNext/>
              <w:rPr>
                <w:b w:val="0"/>
                <w:color w:val="auto"/>
                <w:sz w:val="22"/>
                <w:szCs w:val="22"/>
              </w:rPr>
            </w:pPr>
          </w:p>
        </w:tc>
        <w:tc>
          <w:tcPr>
            <w:tcW w:w="1582" w:type="dxa"/>
          </w:tcPr>
          <w:p w:rsidR="003B2ACF" w:rsidRDefault="003B2ACF" w:rsidP="003555DD">
            <w:pPr>
              <w:pStyle w:val="Caption"/>
              <w:keepNext/>
              <w:rPr>
                <w:b w:val="0"/>
                <w:color w:val="auto"/>
                <w:sz w:val="22"/>
                <w:szCs w:val="22"/>
              </w:rPr>
            </w:pPr>
            <w:r>
              <w:rPr>
                <w:b w:val="0"/>
                <w:color w:val="auto"/>
                <w:sz w:val="22"/>
                <w:szCs w:val="22"/>
              </w:rPr>
              <w:t>0.14 to 0.33</w:t>
            </w:r>
            <w:r>
              <w:rPr>
                <w:b w:val="0"/>
                <w:color w:val="auto"/>
                <w:sz w:val="22"/>
                <w:szCs w:val="22"/>
                <w:vertAlign w:val="superscript"/>
              </w:rPr>
              <w:t>a</w:t>
            </w:r>
          </w:p>
          <w:p w:rsidR="003B2ACF" w:rsidRPr="003B2ACF" w:rsidRDefault="003B2ACF" w:rsidP="003B2ACF">
            <w:pPr>
              <w:rPr>
                <w:vertAlign w:val="superscript"/>
              </w:rPr>
            </w:pPr>
            <w:r>
              <w:t>0.05 to 0.10</w:t>
            </w:r>
            <w:r>
              <w:rPr>
                <w:vertAlign w:val="superscript"/>
              </w:rPr>
              <w:t>b</w:t>
            </w:r>
          </w:p>
        </w:tc>
      </w:tr>
      <w:tr w:rsidR="003B2ACF" w:rsidTr="003B2ACF">
        <w:tc>
          <w:tcPr>
            <w:tcW w:w="1242" w:type="dxa"/>
          </w:tcPr>
          <w:p w:rsidR="006C6285" w:rsidRPr="006C6285" w:rsidRDefault="00CE1CD0" w:rsidP="00CE1CD0">
            <w:pPr>
              <w:pStyle w:val="Caption"/>
              <w:keepNext/>
              <w:rPr>
                <w:b w:val="0"/>
                <w:color w:val="auto"/>
                <w:sz w:val="22"/>
                <w:szCs w:val="22"/>
              </w:rPr>
            </w:pPr>
            <w:r>
              <w:rPr>
                <w:b w:val="0"/>
                <w:color w:val="auto"/>
                <w:sz w:val="22"/>
                <w:szCs w:val="22"/>
              </w:rPr>
              <w:t>Carter and Price,</w:t>
            </w:r>
            <w:r w:rsidR="006C6285">
              <w:rPr>
                <w:b w:val="0"/>
                <w:color w:val="auto"/>
                <w:sz w:val="22"/>
                <w:szCs w:val="22"/>
              </w:rPr>
              <w:t xml:space="preserve"> </w:t>
            </w:r>
            <w:r>
              <w:rPr>
                <w:b w:val="0"/>
                <w:color w:val="auto"/>
                <w:sz w:val="22"/>
                <w:szCs w:val="22"/>
              </w:rPr>
              <w:t>2014</w:t>
            </w:r>
          </w:p>
        </w:tc>
        <w:tc>
          <w:tcPr>
            <w:tcW w:w="1734" w:type="dxa"/>
          </w:tcPr>
          <w:p w:rsidR="003B2ACF" w:rsidRDefault="003B2ACF" w:rsidP="003555DD">
            <w:pPr>
              <w:pStyle w:val="Caption"/>
              <w:keepNext/>
              <w:rPr>
                <w:b w:val="0"/>
                <w:color w:val="auto"/>
                <w:sz w:val="22"/>
                <w:szCs w:val="22"/>
              </w:rPr>
            </w:pPr>
            <w:r>
              <w:rPr>
                <w:b w:val="0"/>
                <w:color w:val="auto"/>
                <w:sz w:val="22"/>
                <w:szCs w:val="22"/>
              </w:rPr>
              <w:t>Canada</w:t>
            </w:r>
          </w:p>
        </w:tc>
        <w:tc>
          <w:tcPr>
            <w:tcW w:w="2094" w:type="dxa"/>
          </w:tcPr>
          <w:p w:rsidR="003B2ACF" w:rsidRDefault="003B2ACF" w:rsidP="003555DD">
            <w:pPr>
              <w:pStyle w:val="Caption"/>
              <w:keepNext/>
              <w:rPr>
                <w:b w:val="0"/>
                <w:color w:val="auto"/>
                <w:sz w:val="22"/>
                <w:szCs w:val="22"/>
              </w:rPr>
            </w:pPr>
            <w:r>
              <w:rPr>
                <w:b w:val="0"/>
                <w:color w:val="auto"/>
                <w:sz w:val="22"/>
                <w:szCs w:val="22"/>
              </w:rPr>
              <w:t>Restored site</w:t>
            </w:r>
          </w:p>
        </w:tc>
        <w:tc>
          <w:tcPr>
            <w:tcW w:w="1559" w:type="dxa"/>
          </w:tcPr>
          <w:p w:rsidR="003B2ACF" w:rsidRDefault="006C6285" w:rsidP="003555DD">
            <w:pPr>
              <w:pStyle w:val="Caption"/>
              <w:keepNext/>
              <w:rPr>
                <w:b w:val="0"/>
                <w:color w:val="auto"/>
                <w:sz w:val="22"/>
                <w:szCs w:val="22"/>
              </w:rPr>
            </w:pPr>
            <w:r>
              <w:rPr>
                <w:b w:val="0"/>
                <w:color w:val="auto"/>
                <w:sz w:val="22"/>
                <w:szCs w:val="22"/>
              </w:rPr>
              <w:t>0 to 12.5 cm</w:t>
            </w:r>
          </w:p>
        </w:tc>
        <w:tc>
          <w:tcPr>
            <w:tcW w:w="1031" w:type="dxa"/>
          </w:tcPr>
          <w:p w:rsidR="003B2ACF" w:rsidRDefault="006C6285" w:rsidP="003555DD">
            <w:pPr>
              <w:pStyle w:val="Caption"/>
              <w:keepNext/>
              <w:rPr>
                <w:b w:val="0"/>
                <w:color w:val="auto"/>
                <w:sz w:val="22"/>
                <w:szCs w:val="22"/>
              </w:rPr>
            </w:pPr>
            <w:r>
              <w:rPr>
                <w:b w:val="0"/>
                <w:color w:val="auto"/>
                <w:sz w:val="22"/>
                <w:szCs w:val="22"/>
              </w:rPr>
              <w:t>0.97 ± 0.01</w:t>
            </w:r>
          </w:p>
        </w:tc>
        <w:tc>
          <w:tcPr>
            <w:tcW w:w="1582" w:type="dxa"/>
          </w:tcPr>
          <w:p w:rsidR="003B2ACF" w:rsidRDefault="003B2ACF" w:rsidP="003555DD">
            <w:pPr>
              <w:pStyle w:val="Caption"/>
              <w:keepNext/>
              <w:rPr>
                <w:b w:val="0"/>
                <w:color w:val="auto"/>
                <w:sz w:val="22"/>
                <w:szCs w:val="22"/>
              </w:rPr>
            </w:pPr>
          </w:p>
        </w:tc>
      </w:tr>
      <w:tr w:rsidR="006C6285" w:rsidTr="003B2ACF">
        <w:tc>
          <w:tcPr>
            <w:tcW w:w="1242" w:type="dxa"/>
          </w:tcPr>
          <w:p w:rsidR="006C6285" w:rsidRDefault="00CE1CD0" w:rsidP="003555DD">
            <w:pPr>
              <w:pStyle w:val="Caption"/>
              <w:keepNext/>
              <w:rPr>
                <w:b w:val="0"/>
                <w:color w:val="auto"/>
                <w:sz w:val="22"/>
                <w:szCs w:val="22"/>
              </w:rPr>
            </w:pPr>
            <w:r>
              <w:rPr>
                <w:b w:val="0"/>
                <w:color w:val="auto"/>
                <w:sz w:val="22"/>
                <w:szCs w:val="22"/>
              </w:rPr>
              <w:t>Carter and Price, 2014</w:t>
            </w:r>
          </w:p>
        </w:tc>
        <w:tc>
          <w:tcPr>
            <w:tcW w:w="1734" w:type="dxa"/>
          </w:tcPr>
          <w:p w:rsidR="006C6285" w:rsidRDefault="006C6285" w:rsidP="003555DD">
            <w:pPr>
              <w:pStyle w:val="Caption"/>
              <w:keepNext/>
              <w:rPr>
                <w:b w:val="0"/>
                <w:color w:val="auto"/>
                <w:sz w:val="22"/>
                <w:szCs w:val="22"/>
              </w:rPr>
            </w:pPr>
            <w:r>
              <w:rPr>
                <w:b w:val="0"/>
                <w:color w:val="auto"/>
                <w:sz w:val="22"/>
                <w:szCs w:val="22"/>
              </w:rPr>
              <w:t>Canada</w:t>
            </w:r>
          </w:p>
        </w:tc>
        <w:tc>
          <w:tcPr>
            <w:tcW w:w="2094" w:type="dxa"/>
          </w:tcPr>
          <w:p w:rsidR="006C6285" w:rsidRDefault="006C6285" w:rsidP="003555DD">
            <w:pPr>
              <w:pStyle w:val="Caption"/>
              <w:keepNext/>
              <w:rPr>
                <w:b w:val="0"/>
                <w:color w:val="auto"/>
                <w:sz w:val="22"/>
                <w:szCs w:val="22"/>
              </w:rPr>
            </w:pPr>
            <w:r>
              <w:rPr>
                <w:b w:val="0"/>
                <w:color w:val="auto"/>
                <w:sz w:val="22"/>
                <w:szCs w:val="22"/>
              </w:rPr>
              <w:t>Natural site</w:t>
            </w:r>
          </w:p>
        </w:tc>
        <w:tc>
          <w:tcPr>
            <w:tcW w:w="1559" w:type="dxa"/>
          </w:tcPr>
          <w:p w:rsidR="006C6285" w:rsidRDefault="006C6285" w:rsidP="006C6285">
            <w:pPr>
              <w:pStyle w:val="Caption"/>
              <w:keepNext/>
              <w:rPr>
                <w:b w:val="0"/>
                <w:color w:val="auto"/>
                <w:sz w:val="22"/>
                <w:szCs w:val="22"/>
              </w:rPr>
            </w:pPr>
            <w:r>
              <w:rPr>
                <w:b w:val="0"/>
                <w:color w:val="auto"/>
                <w:sz w:val="22"/>
                <w:szCs w:val="22"/>
              </w:rPr>
              <w:t>0 to 12.5 cm</w:t>
            </w:r>
          </w:p>
        </w:tc>
        <w:tc>
          <w:tcPr>
            <w:tcW w:w="1031" w:type="dxa"/>
          </w:tcPr>
          <w:p w:rsidR="006C6285" w:rsidRDefault="006C6285" w:rsidP="003555DD">
            <w:pPr>
              <w:pStyle w:val="Caption"/>
              <w:keepNext/>
              <w:rPr>
                <w:b w:val="0"/>
                <w:color w:val="auto"/>
                <w:sz w:val="22"/>
                <w:szCs w:val="22"/>
              </w:rPr>
            </w:pPr>
            <w:r>
              <w:rPr>
                <w:b w:val="0"/>
                <w:color w:val="auto"/>
                <w:sz w:val="22"/>
                <w:szCs w:val="22"/>
              </w:rPr>
              <w:t>0.94 ± 0.02</w:t>
            </w:r>
          </w:p>
        </w:tc>
        <w:tc>
          <w:tcPr>
            <w:tcW w:w="1582" w:type="dxa"/>
          </w:tcPr>
          <w:p w:rsidR="006C6285" w:rsidRDefault="006C6285" w:rsidP="003555DD">
            <w:pPr>
              <w:pStyle w:val="Caption"/>
              <w:keepNext/>
              <w:rPr>
                <w:b w:val="0"/>
                <w:color w:val="auto"/>
                <w:sz w:val="22"/>
                <w:szCs w:val="22"/>
              </w:rPr>
            </w:pPr>
          </w:p>
        </w:tc>
      </w:tr>
      <w:tr w:rsidR="006C6285" w:rsidTr="003B2ACF">
        <w:tc>
          <w:tcPr>
            <w:tcW w:w="1242" w:type="dxa"/>
          </w:tcPr>
          <w:p w:rsidR="006C6285" w:rsidRDefault="00CE1CD0" w:rsidP="003555DD">
            <w:pPr>
              <w:pStyle w:val="Caption"/>
              <w:keepNext/>
              <w:rPr>
                <w:b w:val="0"/>
                <w:color w:val="auto"/>
                <w:sz w:val="22"/>
                <w:szCs w:val="22"/>
              </w:rPr>
            </w:pPr>
            <w:r>
              <w:rPr>
                <w:b w:val="0"/>
                <w:color w:val="auto"/>
                <w:sz w:val="22"/>
                <w:szCs w:val="22"/>
              </w:rPr>
              <w:t>Carter and Price, 2014</w:t>
            </w:r>
          </w:p>
        </w:tc>
        <w:tc>
          <w:tcPr>
            <w:tcW w:w="1734" w:type="dxa"/>
          </w:tcPr>
          <w:p w:rsidR="006C6285" w:rsidRDefault="006C6285" w:rsidP="003555DD">
            <w:pPr>
              <w:pStyle w:val="Caption"/>
              <w:keepNext/>
              <w:rPr>
                <w:b w:val="0"/>
                <w:color w:val="auto"/>
                <w:sz w:val="22"/>
                <w:szCs w:val="22"/>
              </w:rPr>
            </w:pPr>
            <w:r>
              <w:rPr>
                <w:b w:val="0"/>
                <w:color w:val="auto"/>
                <w:sz w:val="22"/>
                <w:szCs w:val="22"/>
              </w:rPr>
              <w:t>Canada</w:t>
            </w:r>
          </w:p>
        </w:tc>
        <w:tc>
          <w:tcPr>
            <w:tcW w:w="2094" w:type="dxa"/>
          </w:tcPr>
          <w:p w:rsidR="006C6285" w:rsidRDefault="006C6285" w:rsidP="003555DD">
            <w:pPr>
              <w:pStyle w:val="Caption"/>
              <w:keepNext/>
              <w:rPr>
                <w:b w:val="0"/>
                <w:color w:val="auto"/>
                <w:sz w:val="22"/>
                <w:szCs w:val="22"/>
              </w:rPr>
            </w:pPr>
            <w:r>
              <w:rPr>
                <w:b w:val="0"/>
                <w:color w:val="auto"/>
                <w:sz w:val="22"/>
                <w:szCs w:val="22"/>
              </w:rPr>
              <w:t>Restored site</w:t>
            </w:r>
          </w:p>
        </w:tc>
        <w:tc>
          <w:tcPr>
            <w:tcW w:w="1559" w:type="dxa"/>
          </w:tcPr>
          <w:p w:rsidR="006C6285" w:rsidRDefault="006C6285" w:rsidP="003555DD">
            <w:pPr>
              <w:pStyle w:val="Caption"/>
              <w:keepNext/>
              <w:rPr>
                <w:b w:val="0"/>
                <w:color w:val="auto"/>
                <w:sz w:val="22"/>
                <w:szCs w:val="22"/>
              </w:rPr>
            </w:pPr>
            <w:r>
              <w:rPr>
                <w:b w:val="0"/>
                <w:color w:val="auto"/>
                <w:sz w:val="22"/>
                <w:szCs w:val="22"/>
              </w:rPr>
              <w:t>27.5 cm</w:t>
            </w:r>
          </w:p>
        </w:tc>
        <w:tc>
          <w:tcPr>
            <w:tcW w:w="1031" w:type="dxa"/>
          </w:tcPr>
          <w:p w:rsidR="006C6285" w:rsidRDefault="006C6285" w:rsidP="003555DD">
            <w:pPr>
              <w:pStyle w:val="Caption"/>
              <w:keepNext/>
              <w:rPr>
                <w:b w:val="0"/>
                <w:color w:val="auto"/>
                <w:sz w:val="22"/>
                <w:szCs w:val="22"/>
              </w:rPr>
            </w:pPr>
            <w:r>
              <w:rPr>
                <w:b w:val="0"/>
                <w:color w:val="auto"/>
                <w:sz w:val="22"/>
                <w:szCs w:val="22"/>
              </w:rPr>
              <w:t xml:space="preserve">0.91 </w:t>
            </w:r>
          </w:p>
        </w:tc>
        <w:tc>
          <w:tcPr>
            <w:tcW w:w="1582" w:type="dxa"/>
          </w:tcPr>
          <w:p w:rsidR="006C6285" w:rsidRDefault="006C6285" w:rsidP="003555DD">
            <w:pPr>
              <w:pStyle w:val="Caption"/>
              <w:keepNext/>
              <w:rPr>
                <w:b w:val="0"/>
                <w:color w:val="auto"/>
                <w:sz w:val="22"/>
                <w:szCs w:val="22"/>
              </w:rPr>
            </w:pPr>
          </w:p>
        </w:tc>
      </w:tr>
      <w:tr w:rsidR="006C6285" w:rsidTr="003B2ACF">
        <w:tc>
          <w:tcPr>
            <w:tcW w:w="1242" w:type="dxa"/>
          </w:tcPr>
          <w:p w:rsidR="006C6285" w:rsidRDefault="00CE1CD0" w:rsidP="003555DD">
            <w:pPr>
              <w:pStyle w:val="Caption"/>
              <w:keepNext/>
              <w:rPr>
                <w:b w:val="0"/>
                <w:color w:val="auto"/>
                <w:sz w:val="22"/>
                <w:szCs w:val="22"/>
              </w:rPr>
            </w:pPr>
            <w:r>
              <w:rPr>
                <w:b w:val="0"/>
                <w:color w:val="auto"/>
                <w:sz w:val="22"/>
                <w:szCs w:val="22"/>
              </w:rPr>
              <w:t>Carter and Price, 2014</w:t>
            </w:r>
          </w:p>
        </w:tc>
        <w:tc>
          <w:tcPr>
            <w:tcW w:w="1734" w:type="dxa"/>
          </w:tcPr>
          <w:p w:rsidR="006C6285" w:rsidRDefault="006C6285" w:rsidP="003555DD">
            <w:pPr>
              <w:pStyle w:val="Caption"/>
              <w:keepNext/>
              <w:rPr>
                <w:b w:val="0"/>
                <w:color w:val="auto"/>
                <w:sz w:val="22"/>
                <w:szCs w:val="22"/>
              </w:rPr>
            </w:pPr>
            <w:r>
              <w:rPr>
                <w:b w:val="0"/>
                <w:color w:val="auto"/>
                <w:sz w:val="22"/>
                <w:szCs w:val="22"/>
              </w:rPr>
              <w:t>Canada</w:t>
            </w:r>
          </w:p>
        </w:tc>
        <w:tc>
          <w:tcPr>
            <w:tcW w:w="2094" w:type="dxa"/>
          </w:tcPr>
          <w:p w:rsidR="006C6285" w:rsidRDefault="006C6285" w:rsidP="003555DD">
            <w:pPr>
              <w:pStyle w:val="Caption"/>
              <w:keepNext/>
              <w:rPr>
                <w:b w:val="0"/>
                <w:color w:val="auto"/>
                <w:sz w:val="22"/>
                <w:szCs w:val="22"/>
              </w:rPr>
            </w:pPr>
            <w:r>
              <w:rPr>
                <w:b w:val="0"/>
                <w:color w:val="auto"/>
                <w:sz w:val="22"/>
                <w:szCs w:val="22"/>
              </w:rPr>
              <w:t>Natural site</w:t>
            </w:r>
          </w:p>
        </w:tc>
        <w:tc>
          <w:tcPr>
            <w:tcW w:w="1559" w:type="dxa"/>
          </w:tcPr>
          <w:p w:rsidR="006C6285" w:rsidRDefault="006C6285" w:rsidP="003555DD">
            <w:pPr>
              <w:pStyle w:val="Caption"/>
              <w:keepNext/>
              <w:rPr>
                <w:b w:val="0"/>
                <w:color w:val="auto"/>
                <w:sz w:val="22"/>
                <w:szCs w:val="22"/>
              </w:rPr>
            </w:pPr>
            <w:r>
              <w:rPr>
                <w:b w:val="0"/>
                <w:color w:val="auto"/>
                <w:sz w:val="22"/>
                <w:szCs w:val="22"/>
              </w:rPr>
              <w:t>27.5 cm</w:t>
            </w:r>
          </w:p>
        </w:tc>
        <w:tc>
          <w:tcPr>
            <w:tcW w:w="1031" w:type="dxa"/>
          </w:tcPr>
          <w:p w:rsidR="006C6285" w:rsidRDefault="006C6285" w:rsidP="003555DD">
            <w:pPr>
              <w:pStyle w:val="Caption"/>
              <w:keepNext/>
              <w:rPr>
                <w:b w:val="0"/>
                <w:color w:val="auto"/>
                <w:sz w:val="22"/>
                <w:szCs w:val="22"/>
              </w:rPr>
            </w:pPr>
            <w:r>
              <w:rPr>
                <w:b w:val="0"/>
                <w:color w:val="auto"/>
                <w:sz w:val="22"/>
                <w:szCs w:val="22"/>
              </w:rPr>
              <w:t>0.82</w:t>
            </w:r>
          </w:p>
        </w:tc>
        <w:tc>
          <w:tcPr>
            <w:tcW w:w="1582" w:type="dxa"/>
          </w:tcPr>
          <w:p w:rsidR="006C6285" w:rsidRDefault="006C6285" w:rsidP="003555DD">
            <w:pPr>
              <w:pStyle w:val="Caption"/>
              <w:keepNext/>
              <w:rPr>
                <w:b w:val="0"/>
                <w:color w:val="auto"/>
                <w:sz w:val="22"/>
                <w:szCs w:val="22"/>
              </w:rPr>
            </w:pPr>
          </w:p>
        </w:tc>
      </w:tr>
      <w:tr w:rsidR="006C6285" w:rsidTr="003B2ACF">
        <w:tc>
          <w:tcPr>
            <w:tcW w:w="1242" w:type="dxa"/>
          </w:tcPr>
          <w:p w:rsidR="006C6285" w:rsidRDefault="00CE1CD0" w:rsidP="003555DD">
            <w:pPr>
              <w:pStyle w:val="Caption"/>
              <w:keepNext/>
              <w:rPr>
                <w:b w:val="0"/>
                <w:color w:val="auto"/>
                <w:sz w:val="22"/>
                <w:szCs w:val="22"/>
              </w:rPr>
            </w:pPr>
            <w:r>
              <w:rPr>
                <w:b w:val="0"/>
                <w:color w:val="auto"/>
                <w:sz w:val="22"/>
                <w:szCs w:val="22"/>
              </w:rPr>
              <w:t>Carter and Price, 2014</w:t>
            </w:r>
          </w:p>
        </w:tc>
        <w:tc>
          <w:tcPr>
            <w:tcW w:w="1734" w:type="dxa"/>
          </w:tcPr>
          <w:p w:rsidR="006C6285" w:rsidRDefault="006C6285" w:rsidP="003555DD">
            <w:pPr>
              <w:pStyle w:val="Caption"/>
              <w:keepNext/>
              <w:rPr>
                <w:b w:val="0"/>
                <w:color w:val="auto"/>
                <w:sz w:val="22"/>
                <w:szCs w:val="22"/>
              </w:rPr>
            </w:pPr>
            <w:r>
              <w:rPr>
                <w:b w:val="0"/>
                <w:color w:val="auto"/>
                <w:sz w:val="22"/>
                <w:szCs w:val="22"/>
              </w:rPr>
              <w:t>Canada</w:t>
            </w:r>
          </w:p>
        </w:tc>
        <w:tc>
          <w:tcPr>
            <w:tcW w:w="2094" w:type="dxa"/>
          </w:tcPr>
          <w:p w:rsidR="006C6285" w:rsidRDefault="006C6285" w:rsidP="003555DD">
            <w:pPr>
              <w:pStyle w:val="Caption"/>
              <w:keepNext/>
              <w:rPr>
                <w:b w:val="0"/>
                <w:color w:val="auto"/>
                <w:sz w:val="22"/>
                <w:szCs w:val="22"/>
              </w:rPr>
            </w:pPr>
            <w:r>
              <w:rPr>
                <w:b w:val="0"/>
                <w:color w:val="auto"/>
                <w:sz w:val="22"/>
                <w:szCs w:val="22"/>
              </w:rPr>
              <w:t>Unrestored site</w:t>
            </w:r>
          </w:p>
        </w:tc>
        <w:tc>
          <w:tcPr>
            <w:tcW w:w="1559" w:type="dxa"/>
          </w:tcPr>
          <w:p w:rsidR="006C6285" w:rsidRDefault="006C6285" w:rsidP="003555DD">
            <w:pPr>
              <w:pStyle w:val="Caption"/>
              <w:keepNext/>
              <w:rPr>
                <w:b w:val="0"/>
                <w:color w:val="auto"/>
                <w:sz w:val="22"/>
                <w:szCs w:val="22"/>
              </w:rPr>
            </w:pPr>
            <w:r>
              <w:rPr>
                <w:b w:val="0"/>
                <w:color w:val="auto"/>
                <w:sz w:val="22"/>
                <w:szCs w:val="22"/>
              </w:rPr>
              <w:t>No trend with depth</w:t>
            </w:r>
          </w:p>
        </w:tc>
        <w:tc>
          <w:tcPr>
            <w:tcW w:w="1031" w:type="dxa"/>
          </w:tcPr>
          <w:p w:rsidR="006C6285" w:rsidRDefault="006C6285" w:rsidP="003555DD">
            <w:pPr>
              <w:pStyle w:val="Caption"/>
              <w:keepNext/>
              <w:rPr>
                <w:b w:val="0"/>
                <w:color w:val="auto"/>
                <w:sz w:val="22"/>
                <w:szCs w:val="22"/>
              </w:rPr>
            </w:pPr>
            <w:r>
              <w:rPr>
                <w:b w:val="0"/>
                <w:color w:val="auto"/>
                <w:sz w:val="22"/>
                <w:szCs w:val="22"/>
              </w:rPr>
              <w:t>0.83 ± 0.05</w:t>
            </w:r>
          </w:p>
        </w:tc>
        <w:tc>
          <w:tcPr>
            <w:tcW w:w="1582" w:type="dxa"/>
          </w:tcPr>
          <w:p w:rsidR="006C6285" w:rsidRDefault="006C6285" w:rsidP="003555DD">
            <w:pPr>
              <w:pStyle w:val="Caption"/>
              <w:keepNext/>
              <w:rPr>
                <w:b w:val="0"/>
                <w:color w:val="auto"/>
                <w:sz w:val="22"/>
                <w:szCs w:val="22"/>
              </w:rPr>
            </w:pPr>
          </w:p>
        </w:tc>
      </w:tr>
      <w:tr w:rsidR="006C6285" w:rsidTr="003B2ACF">
        <w:tc>
          <w:tcPr>
            <w:tcW w:w="1242" w:type="dxa"/>
          </w:tcPr>
          <w:p w:rsidR="006C6285" w:rsidRPr="006C6285" w:rsidRDefault="006C6285" w:rsidP="003555DD">
            <w:pPr>
              <w:pStyle w:val="Caption"/>
              <w:keepNext/>
              <w:rPr>
                <w:b w:val="0"/>
                <w:color w:val="auto"/>
                <w:sz w:val="22"/>
                <w:szCs w:val="22"/>
              </w:rPr>
            </w:pPr>
            <w:r>
              <w:rPr>
                <w:b w:val="0"/>
                <w:color w:val="auto"/>
                <w:sz w:val="22"/>
                <w:szCs w:val="22"/>
              </w:rPr>
              <w:t xml:space="preserve">Letts </w:t>
            </w:r>
            <w:r>
              <w:rPr>
                <w:b w:val="0"/>
                <w:i/>
                <w:color w:val="auto"/>
                <w:sz w:val="22"/>
                <w:szCs w:val="22"/>
              </w:rPr>
              <w:t>et al.,</w:t>
            </w:r>
            <w:r>
              <w:rPr>
                <w:b w:val="0"/>
                <w:color w:val="auto"/>
                <w:sz w:val="22"/>
                <w:szCs w:val="22"/>
              </w:rPr>
              <w:t xml:space="preserve"> 2000. </w:t>
            </w:r>
          </w:p>
        </w:tc>
        <w:tc>
          <w:tcPr>
            <w:tcW w:w="1734" w:type="dxa"/>
          </w:tcPr>
          <w:p w:rsidR="006C6285" w:rsidRDefault="006C6285" w:rsidP="003555DD">
            <w:pPr>
              <w:pStyle w:val="Caption"/>
              <w:keepNext/>
              <w:rPr>
                <w:b w:val="0"/>
                <w:color w:val="auto"/>
                <w:sz w:val="22"/>
                <w:szCs w:val="22"/>
              </w:rPr>
            </w:pPr>
            <w:r>
              <w:rPr>
                <w:b w:val="0"/>
                <w:color w:val="auto"/>
                <w:sz w:val="22"/>
                <w:szCs w:val="22"/>
              </w:rPr>
              <w:t>Canada</w:t>
            </w:r>
          </w:p>
        </w:tc>
        <w:tc>
          <w:tcPr>
            <w:tcW w:w="2094" w:type="dxa"/>
          </w:tcPr>
          <w:p w:rsidR="006C6285" w:rsidRDefault="006C6285" w:rsidP="003555DD">
            <w:pPr>
              <w:pStyle w:val="Caption"/>
              <w:keepNext/>
              <w:rPr>
                <w:b w:val="0"/>
                <w:color w:val="auto"/>
                <w:sz w:val="22"/>
                <w:szCs w:val="22"/>
              </w:rPr>
            </w:pPr>
            <w:r>
              <w:rPr>
                <w:b w:val="0"/>
                <w:color w:val="auto"/>
                <w:sz w:val="22"/>
                <w:szCs w:val="22"/>
              </w:rPr>
              <w:t>Fibric peat</w:t>
            </w:r>
          </w:p>
        </w:tc>
        <w:tc>
          <w:tcPr>
            <w:tcW w:w="1559" w:type="dxa"/>
          </w:tcPr>
          <w:p w:rsidR="006C6285" w:rsidRDefault="006C6285" w:rsidP="003555DD">
            <w:pPr>
              <w:pStyle w:val="Caption"/>
              <w:keepNext/>
              <w:rPr>
                <w:b w:val="0"/>
                <w:color w:val="auto"/>
                <w:sz w:val="22"/>
                <w:szCs w:val="22"/>
              </w:rPr>
            </w:pPr>
            <w:r>
              <w:rPr>
                <w:b w:val="0"/>
                <w:color w:val="auto"/>
                <w:sz w:val="22"/>
                <w:szCs w:val="22"/>
              </w:rPr>
              <w:t>-</w:t>
            </w:r>
          </w:p>
        </w:tc>
        <w:tc>
          <w:tcPr>
            <w:tcW w:w="1031" w:type="dxa"/>
          </w:tcPr>
          <w:p w:rsidR="006C6285" w:rsidRDefault="006C6285" w:rsidP="003555DD">
            <w:pPr>
              <w:pStyle w:val="Caption"/>
              <w:keepNext/>
              <w:rPr>
                <w:b w:val="0"/>
                <w:color w:val="auto"/>
                <w:sz w:val="22"/>
                <w:szCs w:val="22"/>
              </w:rPr>
            </w:pPr>
            <w:r>
              <w:rPr>
                <w:b w:val="0"/>
                <w:color w:val="auto"/>
                <w:sz w:val="22"/>
                <w:szCs w:val="22"/>
              </w:rPr>
              <w:t>-</w:t>
            </w:r>
          </w:p>
        </w:tc>
        <w:tc>
          <w:tcPr>
            <w:tcW w:w="1582" w:type="dxa"/>
          </w:tcPr>
          <w:p w:rsidR="006C6285" w:rsidRDefault="006C6285" w:rsidP="003555DD">
            <w:pPr>
              <w:pStyle w:val="Caption"/>
              <w:keepNext/>
              <w:rPr>
                <w:b w:val="0"/>
                <w:color w:val="auto"/>
                <w:sz w:val="22"/>
                <w:szCs w:val="22"/>
              </w:rPr>
            </w:pPr>
            <w:r>
              <w:rPr>
                <w:b w:val="0"/>
                <w:color w:val="auto"/>
                <w:sz w:val="22"/>
                <w:szCs w:val="22"/>
              </w:rPr>
              <w:t>0.66</w:t>
            </w:r>
          </w:p>
        </w:tc>
      </w:tr>
      <w:tr w:rsidR="006C6285" w:rsidTr="003B2ACF">
        <w:tc>
          <w:tcPr>
            <w:tcW w:w="1242" w:type="dxa"/>
          </w:tcPr>
          <w:p w:rsidR="006C6285" w:rsidRPr="006C6285" w:rsidRDefault="006C6285" w:rsidP="006C6285">
            <w:pPr>
              <w:pStyle w:val="Caption"/>
              <w:keepNext/>
              <w:rPr>
                <w:b w:val="0"/>
                <w:color w:val="auto"/>
                <w:sz w:val="22"/>
                <w:szCs w:val="22"/>
              </w:rPr>
            </w:pPr>
            <w:r>
              <w:rPr>
                <w:b w:val="0"/>
                <w:color w:val="auto"/>
                <w:sz w:val="22"/>
                <w:szCs w:val="22"/>
              </w:rPr>
              <w:t xml:space="preserve">Letts </w:t>
            </w:r>
            <w:r>
              <w:rPr>
                <w:b w:val="0"/>
                <w:i/>
                <w:color w:val="auto"/>
                <w:sz w:val="22"/>
                <w:szCs w:val="22"/>
              </w:rPr>
              <w:t>et al.,</w:t>
            </w:r>
            <w:r>
              <w:rPr>
                <w:b w:val="0"/>
                <w:color w:val="auto"/>
                <w:sz w:val="22"/>
                <w:szCs w:val="22"/>
              </w:rPr>
              <w:t xml:space="preserve"> 2000. </w:t>
            </w:r>
          </w:p>
        </w:tc>
        <w:tc>
          <w:tcPr>
            <w:tcW w:w="1734" w:type="dxa"/>
          </w:tcPr>
          <w:p w:rsidR="006C6285" w:rsidRDefault="006C6285" w:rsidP="006C6285">
            <w:pPr>
              <w:pStyle w:val="Caption"/>
              <w:keepNext/>
              <w:rPr>
                <w:b w:val="0"/>
                <w:color w:val="auto"/>
                <w:sz w:val="22"/>
                <w:szCs w:val="22"/>
              </w:rPr>
            </w:pPr>
            <w:r>
              <w:rPr>
                <w:b w:val="0"/>
                <w:color w:val="auto"/>
                <w:sz w:val="22"/>
                <w:szCs w:val="22"/>
              </w:rPr>
              <w:t>Canada</w:t>
            </w:r>
          </w:p>
        </w:tc>
        <w:tc>
          <w:tcPr>
            <w:tcW w:w="2094" w:type="dxa"/>
          </w:tcPr>
          <w:p w:rsidR="006C6285" w:rsidRDefault="006C6285" w:rsidP="003555DD">
            <w:pPr>
              <w:pStyle w:val="Caption"/>
              <w:keepNext/>
              <w:rPr>
                <w:b w:val="0"/>
                <w:color w:val="auto"/>
                <w:sz w:val="22"/>
                <w:szCs w:val="22"/>
              </w:rPr>
            </w:pPr>
            <w:r>
              <w:rPr>
                <w:b w:val="0"/>
                <w:color w:val="auto"/>
                <w:sz w:val="22"/>
                <w:szCs w:val="22"/>
              </w:rPr>
              <w:t>Hemic peat</w:t>
            </w:r>
          </w:p>
        </w:tc>
        <w:tc>
          <w:tcPr>
            <w:tcW w:w="1559" w:type="dxa"/>
          </w:tcPr>
          <w:p w:rsidR="006C6285" w:rsidRDefault="006C6285" w:rsidP="003555DD">
            <w:pPr>
              <w:pStyle w:val="Caption"/>
              <w:keepNext/>
              <w:rPr>
                <w:b w:val="0"/>
                <w:color w:val="auto"/>
                <w:sz w:val="22"/>
                <w:szCs w:val="22"/>
              </w:rPr>
            </w:pPr>
            <w:r>
              <w:rPr>
                <w:b w:val="0"/>
                <w:color w:val="auto"/>
                <w:sz w:val="22"/>
                <w:szCs w:val="22"/>
              </w:rPr>
              <w:t>-</w:t>
            </w:r>
          </w:p>
        </w:tc>
        <w:tc>
          <w:tcPr>
            <w:tcW w:w="1031" w:type="dxa"/>
          </w:tcPr>
          <w:p w:rsidR="006C6285" w:rsidRDefault="006C6285" w:rsidP="003555DD">
            <w:pPr>
              <w:pStyle w:val="Caption"/>
              <w:keepNext/>
              <w:rPr>
                <w:b w:val="0"/>
                <w:color w:val="auto"/>
                <w:sz w:val="22"/>
                <w:szCs w:val="22"/>
              </w:rPr>
            </w:pPr>
            <w:r>
              <w:rPr>
                <w:b w:val="0"/>
                <w:color w:val="auto"/>
                <w:sz w:val="22"/>
                <w:szCs w:val="22"/>
              </w:rPr>
              <w:t>-</w:t>
            </w:r>
          </w:p>
        </w:tc>
        <w:tc>
          <w:tcPr>
            <w:tcW w:w="1582" w:type="dxa"/>
          </w:tcPr>
          <w:p w:rsidR="006C6285" w:rsidRDefault="006C6285" w:rsidP="003555DD">
            <w:pPr>
              <w:pStyle w:val="Caption"/>
              <w:keepNext/>
              <w:rPr>
                <w:b w:val="0"/>
                <w:color w:val="auto"/>
                <w:sz w:val="22"/>
                <w:szCs w:val="22"/>
              </w:rPr>
            </w:pPr>
            <w:r>
              <w:rPr>
                <w:b w:val="0"/>
                <w:color w:val="auto"/>
                <w:sz w:val="22"/>
                <w:szCs w:val="22"/>
              </w:rPr>
              <w:t>0.26</w:t>
            </w:r>
          </w:p>
        </w:tc>
      </w:tr>
      <w:tr w:rsidR="006C6285" w:rsidTr="003B2ACF">
        <w:tc>
          <w:tcPr>
            <w:tcW w:w="1242" w:type="dxa"/>
          </w:tcPr>
          <w:p w:rsidR="006C6285" w:rsidRPr="006C6285" w:rsidRDefault="006C6285" w:rsidP="006C6285">
            <w:pPr>
              <w:pStyle w:val="Caption"/>
              <w:keepNext/>
              <w:rPr>
                <w:b w:val="0"/>
                <w:color w:val="auto"/>
                <w:sz w:val="22"/>
                <w:szCs w:val="22"/>
              </w:rPr>
            </w:pPr>
            <w:r>
              <w:rPr>
                <w:b w:val="0"/>
                <w:color w:val="auto"/>
                <w:sz w:val="22"/>
                <w:szCs w:val="22"/>
              </w:rPr>
              <w:t xml:space="preserve">Letts </w:t>
            </w:r>
            <w:r>
              <w:rPr>
                <w:b w:val="0"/>
                <w:i/>
                <w:color w:val="auto"/>
                <w:sz w:val="22"/>
                <w:szCs w:val="22"/>
              </w:rPr>
              <w:t>et al.,</w:t>
            </w:r>
            <w:r>
              <w:rPr>
                <w:b w:val="0"/>
                <w:color w:val="auto"/>
                <w:sz w:val="22"/>
                <w:szCs w:val="22"/>
              </w:rPr>
              <w:t xml:space="preserve"> 2000. </w:t>
            </w:r>
          </w:p>
        </w:tc>
        <w:tc>
          <w:tcPr>
            <w:tcW w:w="1734" w:type="dxa"/>
          </w:tcPr>
          <w:p w:rsidR="006C6285" w:rsidRDefault="006C6285" w:rsidP="006C6285">
            <w:pPr>
              <w:pStyle w:val="Caption"/>
              <w:keepNext/>
              <w:rPr>
                <w:b w:val="0"/>
                <w:color w:val="auto"/>
                <w:sz w:val="22"/>
                <w:szCs w:val="22"/>
              </w:rPr>
            </w:pPr>
            <w:r>
              <w:rPr>
                <w:b w:val="0"/>
                <w:color w:val="auto"/>
                <w:sz w:val="22"/>
                <w:szCs w:val="22"/>
              </w:rPr>
              <w:t>Canada</w:t>
            </w:r>
          </w:p>
        </w:tc>
        <w:tc>
          <w:tcPr>
            <w:tcW w:w="2094" w:type="dxa"/>
          </w:tcPr>
          <w:p w:rsidR="006C6285" w:rsidRDefault="006C6285" w:rsidP="003555DD">
            <w:pPr>
              <w:pStyle w:val="Caption"/>
              <w:keepNext/>
              <w:rPr>
                <w:b w:val="0"/>
                <w:color w:val="auto"/>
                <w:sz w:val="22"/>
                <w:szCs w:val="22"/>
              </w:rPr>
            </w:pPr>
            <w:r>
              <w:rPr>
                <w:b w:val="0"/>
                <w:color w:val="auto"/>
                <w:sz w:val="22"/>
                <w:szCs w:val="22"/>
              </w:rPr>
              <w:t>Sapric peat</w:t>
            </w:r>
          </w:p>
        </w:tc>
        <w:tc>
          <w:tcPr>
            <w:tcW w:w="1559" w:type="dxa"/>
          </w:tcPr>
          <w:p w:rsidR="006C6285" w:rsidRDefault="006C6285" w:rsidP="003555DD">
            <w:pPr>
              <w:pStyle w:val="Caption"/>
              <w:keepNext/>
              <w:rPr>
                <w:b w:val="0"/>
                <w:color w:val="auto"/>
                <w:sz w:val="22"/>
                <w:szCs w:val="22"/>
              </w:rPr>
            </w:pPr>
            <w:r>
              <w:rPr>
                <w:b w:val="0"/>
                <w:color w:val="auto"/>
                <w:sz w:val="22"/>
                <w:szCs w:val="22"/>
              </w:rPr>
              <w:t>-</w:t>
            </w:r>
          </w:p>
        </w:tc>
        <w:tc>
          <w:tcPr>
            <w:tcW w:w="1031" w:type="dxa"/>
          </w:tcPr>
          <w:p w:rsidR="006C6285" w:rsidRDefault="006C6285" w:rsidP="003555DD">
            <w:pPr>
              <w:pStyle w:val="Caption"/>
              <w:keepNext/>
              <w:rPr>
                <w:b w:val="0"/>
                <w:color w:val="auto"/>
                <w:sz w:val="22"/>
                <w:szCs w:val="22"/>
              </w:rPr>
            </w:pPr>
            <w:r>
              <w:rPr>
                <w:b w:val="0"/>
                <w:color w:val="auto"/>
                <w:sz w:val="22"/>
                <w:szCs w:val="22"/>
              </w:rPr>
              <w:t>-</w:t>
            </w:r>
          </w:p>
        </w:tc>
        <w:tc>
          <w:tcPr>
            <w:tcW w:w="1582" w:type="dxa"/>
          </w:tcPr>
          <w:p w:rsidR="006C6285" w:rsidRPr="006C6285" w:rsidRDefault="006C6285" w:rsidP="006C6285">
            <w:pPr>
              <w:pStyle w:val="Caption"/>
              <w:keepNext/>
              <w:rPr>
                <w:b w:val="0"/>
                <w:color w:val="auto"/>
                <w:sz w:val="22"/>
                <w:szCs w:val="22"/>
              </w:rPr>
            </w:pPr>
            <w:r>
              <w:rPr>
                <w:b w:val="0"/>
                <w:color w:val="auto"/>
                <w:sz w:val="22"/>
                <w:szCs w:val="22"/>
              </w:rPr>
              <w:t>0.13</w:t>
            </w:r>
          </w:p>
        </w:tc>
      </w:tr>
    </w:tbl>
    <w:p w:rsidR="000413DC" w:rsidRDefault="000413DC" w:rsidP="00142410">
      <w:pPr>
        <w:autoSpaceDE w:val="0"/>
        <w:autoSpaceDN w:val="0"/>
        <w:adjustRightInd w:val="0"/>
        <w:spacing w:after="0" w:line="240" w:lineRule="auto"/>
        <w:jc w:val="both"/>
      </w:pPr>
    </w:p>
    <w:p w:rsidR="00FC1374" w:rsidRDefault="00FC1374">
      <w:pPr>
        <w:rPr>
          <w:b/>
        </w:rPr>
      </w:pPr>
      <w:r>
        <w:rPr>
          <w:b/>
        </w:rPr>
        <w:br w:type="page"/>
      </w:r>
    </w:p>
    <w:p w:rsidR="00E971FD" w:rsidRDefault="00E971FD" w:rsidP="00B4335D">
      <w:pPr>
        <w:pStyle w:val="Heading2"/>
        <w:numPr>
          <w:ilvl w:val="0"/>
          <w:numId w:val="16"/>
        </w:numPr>
      </w:pPr>
      <w:bookmarkStart w:id="10" w:name="_Toc402956177"/>
      <w:r>
        <w:lastRenderedPageBreak/>
        <w:t>Water storage in the soil body: the values to use in this study</w:t>
      </w:r>
      <w:bookmarkEnd w:id="10"/>
      <w:r>
        <w:t xml:space="preserve"> </w:t>
      </w:r>
    </w:p>
    <w:p w:rsidR="00E971FD" w:rsidRDefault="00E971FD" w:rsidP="00142410">
      <w:pPr>
        <w:autoSpaceDE w:val="0"/>
        <w:autoSpaceDN w:val="0"/>
        <w:adjustRightInd w:val="0"/>
        <w:spacing w:after="0" w:line="240" w:lineRule="auto"/>
        <w:jc w:val="both"/>
      </w:pPr>
    </w:p>
    <w:p w:rsidR="00E971FD" w:rsidRDefault="00E971FD" w:rsidP="00142410">
      <w:pPr>
        <w:autoSpaceDE w:val="0"/>
        <w:autoSpaceDN w:val="0"/>
        <w:adjustRightInd w:val="0"/>
        <w:spacing w:after="0" w:line="240" w:lineRule="auto"/>
        <w:jc w:val="both"/>
      </w:pPr>
      <w:r>
        <w:t>This review of literature values forms the basis of the estimate of specific yield to be used in this study. There is spatial heterogeneity in both soil properties and soil profile and it is unlikely that sufficiently detailed spatial information exists to be able to account for this. The proposed solution is therefor</w:t>
      </w:r>
      <w:r w:rsidR="000D223C">
        <w:t>e</w:t>
      </w:r>
      <w:r>
        <w:t xml:space="preserve"> to calculate a mean value and also a likely range of values. </w:t>
      </w:r>
      <w:r w:rsidR="007728D9">
        <w:t xml:space="preserve">Table </w:t>
      </w:r>
      <w:r w:rsidR="009F5D32">
        <w:t>9</w:t>
      </w:r>
      <w:r w:rsidR="007728D9">
        <w:t xml:space="preserve"> shows the summary of values relating to the study area. </w:t>
      </w:r>
    </w:p>
    <w:p w:rsidR="007728D9" w:rsidRDefault="007728D9" w:rsidP="00142410">
      <w:pPr>
        <w:autoSpaceDE w:val="0"/>
        <w:autoSpaceDN w:val="0"/>
        <w:adjustRightInd w:val="0"/>
        <w:spacing w:after="0" w:line="240" w:lineRule="auto"/>
        <w:jc w:val="both"/>
      </w:pPr>
    </w:p>
    <w:p w:rsidR="000C70EA" w:rsidRPr="000C70EA" w:rsidRDefault="000C70EA" w:rsidP="000C70EA">
      <w:pPr>
        <w:pStyle w:val="Caption"/>
        <w:keepNext/>
        <w:rPr>
          <w:b w:val="0"/>
          <w:color w:val="auto"/>
          <w:sz w:val="22"/>
          <w:szCs w:val="22"/>
        </w:rPr>
      </w:pPr>
      <w:r w:rsidRPr="000C70EA">
        <w:rPr>
          <w:b w:val="0"/>
          <w:color w:val="auto"/>
          <w:sz w:val="22"/>
          <w:szCs w:val="22"/>
        </w:rPr>
        <w:t xml:space="preserve">Table </w:t>
      </w:r>
      <w:r w:rsidR="00251534" w:rsidRPr="000C70EA">
        <w:rPr>
          <w:b w:val="0"/>
          <w:color w:val="auto"/>
          <w:sz w:val="22"/>
          <w:szCs w:val="22"/>
        </w:rPr>
        <w:fldChar w:fldCharType="begin"/>
      </w:r>
      <w:r w:rsidRPr="000C70EA">
        <w:rPr>
          <w:b w:val="0"/>
          <w:color w:val="auto"/>
          <w:sz w:val="22"/>
          <w:szCs w:val="22"/>
        </w:rPr>
        <w:instrText xml:space="preserve"> SEQ Table \* ARABIC </w:instrText>
      </w:r>
      <w:r w:rsidR="00251534" w:rsidRPr="000C70EA">
        <w:rPr>
          <w:b w:val="0"/>
          <w:color w:val="auto"/>
          <w:sz w:val="22"/>
          <w:szCs w:val="22"/>
        </w:rPr>
        <w:fldChar w:fldCharType="separate"/>
      </w:r>
      <w:r w:rsidR="000E193B">
        <w:rPr>
          <w:b w:val="0"/>
          <w:noProof/>
          <w:color w:val="auto"/>
          <w:sz w:val="22"/>
          <w:szCs w:val="22"/>
        </w:rPr>
        <w:t>9</w:t>
      </w:r>
      <w:r w:rsidR="00251534" w:rsidRPr="000C70EA">
        <w:rPr>
          <w:b w:val="0"/>
          <w:color w:val="auto"/>
          <w:sz w:val="22"/>
          <w:szCs w:val="22"/>
        </w:rPr>
        <w:fldChar w:fldCharType="end"/>
      </w:r>
      <w:r w:rsidR="00DA5F29">
        <w:rPr>
          <w:b w:val="0"/>
          <w:color w:val="auto"/>
          <w:sz w:val="22"/>
          <w:szCs w:val="22"/>
        </w:rPr>
        <w:t>.</w:t>
      </w:r>
      <w:r w:rsidRPr="000C70EA">
        <w:rPr>
          <w:b w:val="0"/>
          <w:color w:val="auto"/>
          <w:sz w:val="22"/>
          <w:szCs w:val="22"/>
        </w:rPr>
        <w:t xml:space="preserve"> Summary of specific yield values relevant to the study area</w:t>
      </w:r>
      <w:r w:rsidR="00DA5F29">
        <w:rPr>
          <w:b w:val="0"/>
          <w:color w:val="auto"/>
          <w:sz w:val="22"/>
          <w:szCs w:val="22"/>
        </w:rPr>
        <w:t>.</w:t>
      </w:r>
    </w:p>
    <w:tbl>
      <w:tblPr>
        <w:tblStyle w:val="TableGrid"/>
        <w:tblW w:w="0" w:type="auto"/>
        <w:tblLook w:val="04A0" w:firstRow="1" w:lastRow="0" w:firstColumn="1" w:lastColumn="0" w:noHBand="0" w:noVBand="1"/>
      </w:tblPr>
      <w:tblGrid>
        <w:gridCol w:w="1639"/>
        <w:gridCol w:w="1593"/>
        <w:gridCol w:w="1643"/>
        <w:gridCol w:w="1536"/>
        <w:gridCol w:w="1302"/>
        <w:gridCol w:w="1529"/>
      </w:tblGrid>
      <w:tr w:rsidR="007728D9" w:rsidTr="007728D9">
        <w:tc>
          <w:tcPr>
            <w:tcW w:w="1639" w:type="dxa"/>
          </w:tcPr>
          <w:p w:rsidR="007728D9" w:rsidRDefault="007728D9" w:rsidP="00142410">
            <w:pPr>
              <w:autoSpaceDE w:val="0"/>
              <w:autoSpaceDN w:val="0"/>
              <w:adjustRightInd w:val="0"/>
              <w:jc w:val="both"/>
            </w:pPr>
            <w:r>
              <w:t>Reference</w:t>
            </w:r>
          </w:p>
        </w:tc>
        <w:tc>
          <w:tcPr>
            <w:tcW w:w="1593" w:type="dxa"/>
          </w:tcPr>
          <w:p w:rsidR="007728D9" w:rsidRDefault="007728D9" w:rsidP="00142410">
            <w:pPr>
              <w:autoSpaceDE w:val="0"/>
              <w:autoSpaceDN w:val="0"/>
              <w:adjustRightInd w:val="0"/>
              <w:jc w:val="both"/>
            </w:pPr>
            <w:r>
              <w:t>Study type</w:t>
            </w:r>
          </w:p>
        </w:tc>
        <w:tc>
          <w:tcPr>
            <w:tcW w:w="1643" w:type="dxa"/>
          </w:tcPr>
          <w:p w:rsidR="007728D9" w:rsidRDefault="007728D9" w:rsidP="00142410">
            <w:pPr>
              <w:autoSpaceDE w:val="0"/>
              <w:autoSpaceDN w:val="0"/>
              <w:adjustRightInd w:val="0"/>
              <w:jc w:val="both"/>
            </w:pPr>
            <w:r>
              <w:t>Study area</w:t>
            </w:r>
          </w:p>
        </w:tc>
        <w:tc>
          <w:tcPr>
            <w:tcW w:w="1536" w:type="dxa"/>
          </w:tcPr>
          <w:p w:rsidR="007728D9" w:rsidRDefault="007728D9" w:rsidP="00142410">
            <w:pPr>
              <w:autoSpaceDE w:val="0"/>
              <w:autoSpaceDN w:val="0"/>
              <w:adjustRightInd w:val="0"/>
              <w:jc w:val="both"/>
            </w:pPr>
            <w:r>
              <w:t>Depth (m)</w:t>
            </w:r>
          </w:p>
        </w:tc>
        <w:tc>
          <w:tcPr>
            <w:tcW w:w="1302" w:type="dxa"/>
          </w:tcPr>
          <w:p w:rsidR="007728D9" w:rsidRDefault="007728D9" w:rsidP="00142410">
            <w:pPr>
              <w:autoSpaceDE w:val="0"/>
              <w:autoSpaceDN w:val="0"/>
              <w:adjustRightInd w:val="0"/>
              <w:jc w:val="both"/>
            </w:pPr>
            <w:r>
              <w:t>Soil Type</w:t>
            </w:r>
          </w:p>
        </w:tc>
        <w:tc>
          <w:tcPr>
            <w:tcW w:w="1529" w:type="dxa"/>
          </w:tcPr>
          <w:p w:rsidR="007728D9" w:rsidRDefault="007728D9" w:rsidP="00142410">
            <w:pPr>
              <w:autoSpaceDE w:val="0"/>
              <w:autoSpaceDN w:val="0"/>
              <w:adjustRightInd w:val="0"/>
              <w:jc w:val="both"/>
            </w:pPr>
            <w:r>
              <w:t>Specific Yield</w:t>
            </w:r>
          </w:p>
        </w:tc>
      </w:tr>
      <w:tr w:rsidR="007728D9" w:rsidTr="007728D9">
        <w:tc>
          <w:tcPr>
            <w:tcW w:w="1639" w:type="dxa"/>
          </w:tcPr>
          <w:p w:rsidR="007728D9" w:rsidRDefault="007728D9" w:rsidP="00142410">
            <w:pPr>
              <w:autoSpaceDE w:val="0"/>
              <w:autoSpaceDN w:val="0"/>
              <w:adjustRightInd w:val="0"/>
              <w:jc w:val="both"/>
            </w:pPr>
            <w:r>
              <w:t>Gilman, 1994.</w:t>
            </w:r>
          </w:p>
        </w:tc>
        <w:tc>
          <w:tcPr>
            <w:tcW w:w="1593" w:type="dxa"/>
          </w:tcPr>
          <w:p w:rsidR="007728D9" w:rsidRDefault="007728D9" w:rsidP="00142410">
            <w:pPr>
              <w:autoSpaceDE w:val="0"/>
              <w:autoSpaceDN w:val="0"/>
              <w:adjustRightInd w:val="0"/>
              <w:jc w:val="both"/>
            </w:pPr>
            <w:r>
              <w:t>Lysimeter</w:t>
            </w:r>
          </w:p>
        </w:tc>
        <w:tc>
          <w:tcPr>
            <w:tcW w:w="1643" w:type="dxa"/>
          </w:tcPr>
          <w:p w:rsidR="007728D9" w:rsidRDefault="007728D9" w:rsidP="00142410">
            <w:pPr>
              <w:autoSpaceDE w:val="0"/>
              <w:autoSpaceDN w:val="0"/>
              <w:adjustRightInd w:val="0"/>
              <w:jc w:val="both"/>
            </w:pPr>
            <w:r>
              <w:t>West Sedgemoor</w:t>
            </w:r>
          </w:p>
        </w:tc>
        <w:tc>
          <w:tcPr>
            <w:tcW w:w="1536" w:type="dxa"/>
          </w:tcPr>
          <w:p w:rsidR="007728D9" w:rsidRDefault="007728D9" w:rsidP="00142410">
            <w:pPr>
              <w:autoSpaceDE w:val="0"/>
              <w:autoSpaceDN w:val="0"/>
              <w:adjustRightInd w:val="0"/>
              <w:jc w:val="both"/>
            </w:pPr>
            <w:r>
              <w:t xml:space="preserve">Approx. &gt; 0.1 </w:t>
            </w:r>
          </w:p>
        </w:tc>
        <w:tc>
          <w:tcPr>
            <w:tcW w:w="1302" w:type="dxa"/>
          </w:tcPr>
          <w:p w:rsidR="007728D9" w:rsidRDefault="007728D9" w:rsidP="00142410">
            <w:pPr>
              <w:autoSpaceDE w:val="0"/>
              <w:autoSpaceDN w:val="0"/>
              <w:adjustRightInd w:val="0"/>
              <w:jc w:val="both"/>
            </w:pPr>
          </w:p>
        </w:tc>
        <w:tc>
          <w:tcPr>
            <w:tcW w:w="1529" w:type="dxa"/>
          </w:tcPr>
          <w:p w:rsidR="007728D9" w:rsidRDefault="007728D9" w:rsidP="00142410">
            <w:pPr>
              <w:autoSpaceDE w:val="0"/>
              <w:autoSpaceDN w:val="0"/>
              <w:adjustRightInd w:val="0"/>
              <w:jc w:val="both"/>
            </w:pPr>
            <w:r>
              <w:t>0.25</w:t>
            </w:r>
          </w:p>
        </w:tc>
      </w:tr>
      <w:tr w:rsidR="007728D9" w:rsidTr="007728D9">
        <w:tc>
          <w:tcPr>
            <w:tcW w:w="1639" w:type="dxa"/>
          </w:tcPr>
          <w:p w:rsidR="007728D9" w:rsidRDefault="007728D9" w:rsidP="007728D9">
            <w:pPr>
              <w:autoSpaceDE w:val="0"/>
              <w:autoSpaceDN w:val="0"/>
              <w:adjustRightInd w:val="0"/>
              <w:jc w:val="both"/>
            </w:pPr>
            <w:r>
              <w:t>Dawson, 2006.</w:t>
            </w:r>
          </w:p>
        </w:tc>
        <w:tc>
          <w:tcPr>
            <w:tcW w:w="1593" w:type="dxa"/>
          </w:tcPr>
          <w:p w:rsidR="007728D9" w:rsidRDefault="007728D9" w:rsidP="00142410">
            <w:pPr>
              <w:autoSpaceDE w:val="0"/>
              <w:autoSpaceDN w:val="0"/>
              <w:adjustRightInd w:val="0"/>
              <w:jc w:val="both"/>
            </w:pPr>
            <w:r>
              <w:t>Lab sample</w:t>
            </w:r>
          </w:p>
        </w:tc>
        <w:tc>
          <w:tcPr>
            <w:tcW w:w="1643" w:type="dxa"/>
          </w:tcPr>
          <w:p w:rsidR="007728D9" w:rsidRDefault="007728D9" w:rsidP="00142410">
            <w:pPr>
              <w:autoSpaceDE w:val="0"/>
              <w:autoSpaceDN w:val="0"/>
              <w:adjustRightInd w:val="0"/>
              <w:jc w:val="both"/>
            </w:pPr>
            <w:r>
              <w:t>West Sedgemoor</w:t>
            </w:r>
          </w:p>
        </w:tc>
        <w:tc>
          <w:tcPr>
            <w:tcW w:w="1536" w:type="dxa"/>
          </w:tcPr>
          <w:p w:rsidR="007728D9" w:rsidRDefault="007728D9" w:rsidP="00142410">
            <w:pPr>
              <w:autoSpaceDE w:val="0"/>
              <w:autoSpaceDN w:val="0"/>
              <w:adjustRightInd w:val="0"/>
              <w:jc w:val="both"/>
            </w:pPr>
            <w:r>
              <w:t xml:space="preserve">0 to 0.15 </w:t>
            </w:r>
          </w:p>
        </w:tc>
        <w:tc>
          <w:tcPr>
            <w:tcW w:w="1302" w:type="dxa"/>
          </w:tcPr>
          <w:p w:rsidR="007728D9" w:rsidRDefault="007728D9" w:rsidP="00142410">
            <w:pPr>
              <w:autoSpaceDE w:val="0"/>
              <w:autoSpaceDN w:val="0"/>
              <w:adjustRightInd w:val="0"/>
              <w:jc w:val="both"/>
            </w:pPr>
            <w:r>
              <w:t>Peaty loam</w:t>
            </w:r>
          </w:p>
        </w:tc>
        <w:tc>
          <w:tcPr>
            <w:tcW w:w="1529" w:type="dxa"/>
          </w:tcPr>
          <w:p w:rsidR="007728D9" w:rsidRPr="007728D9" w:rsidRDefault="007728D9" w:rsidP="007728D9">
            <w:pPr>
              <w:rPr>
                <w:rFonts w:eastAsia="Times New Roman" w:cs="Times New Roman"/>
                <w:color w:val="000000"/>
              </w:rPr>
            </w:pPr>
            <w:r w:rsidRPr="007728D9">
              <w:rPr>
                <w:rFonts w:eastAsia="Times New Roman" w:cs="Times New Roman"/>
                <w:color w:val="000000"/>
              </w:rPr>
              <w:t>0.13</w:t>
            </w:r>
          </w:p>
        </w:tc>
      </w:tr>
      <w:tr w:rsidR="007728D9" w:rsidTr="007728D9">
        <w:tc>
          <w:tcPr>
            <w:tcW w:w="1639" w:type="dxa"/>
          </w:tcPr>
          <w:p w:rsidR="007728D9" w:rsidRDefault="007728D9" w:rsidP="007728D9">
            <w:pPr>
              <w:autoSpaceDE w:val="0"/>
              <w:autoSpaceDN w:val="0"/>
              <w:adjustRightInd w:val="0"/>
              <w:jc w:val="both"/>
            </w:pPr>
            <w:r>
              <w:t>Dawson, 2006.</w:t>
            </w:r>
          </w:p>
        </w:tc>
        <w:tc>
          <w:tcPr>
            <w:tcW w:w="1593" w:type="dxa"/>
          </w:tcPr>
          <w:p w:rsidR="007728D9" w:rsidRDefault="007728D9" w:rsidP="007728D9">
            <w:pPr>
              <w:autoSpaceDE w:val="0"/>
              <w:autoSpaceDN w:val="0"/>
              <w:adjustRightInd w:val="0"/>
              <w:jc w:val="both"/>
            </w:pPr>
            <w:r>
              <w:t>Lab sample</w:t>
            </w:r>
          </w:p>
        </w:tc>
        <w:tc>
          <w:tcPr>
            <w:tcW w:w="1643" w:type="dxa"/>
          </w:tcPr>
          <w:p w:rsidR="007728D9" w:rsidRDefault="007728D9" w:rsidP="007728D9">
            <w:pPr>
              <w:autoSpaceDE w:val="0"/>
              <w:autoSpaceDN w:val="0"/>
              <w:adjustRightInd w:val="0"/>
              <w:jc w:val="both"/>
            </w:pPr>
            <w:r>
              <w:t>West Sedgemoor</w:t>
            </w:r>
          </w:p>
        </w:tc>
        <w:tc>
          <w:tcPr>
            <w:tcW w:w="1536" w:type="dxa"/>
          </w:tcPr>
          <w:p w:rsidR="007728D9" w:rsidRDefault="007728D9" w:rsidP="00142410">
            <w:pPr>
              <w:autoSpaceDE w:val="0"/>
              <w:autoSpaceDN w:val="0"/>
              <w:adjustRightInd w:val="0"/>
              <w:jc w:val="both"/>
            </w:pPr>
            <w:r>
              <w:t>0.35 to 0.50</w:t>
            </w:r>
          </w:p>
        </w:tc>
        <w:tc>
          <w:tcPr>
            <w:tcW w:w="1302" w:type="dxa"/>
          </w:tcPr>
          <w:p w:rsidR="007728D9" w:rsidRDefault="007728D9" w:rsidP="00142410">
            <w:pPr>
              <w:autoSpaceDE w:val="0"/>
              <w:autoSpaceDN w:val="0"/>
              <w:adjustRightInd w:val="0"/>
              <w:jc w:val="both"/>
            </w:pPr>
            <w:r>
              <w:t>Humified peat</w:t>
            </w:r>
          </w:p>
        </w:tc>
        <w:tc>
          <w:tcPr>
            <w:tcW w:w="1529" w:type="dxa"/>
          </w:tcPr>
          <w:p w:rsidR="007728D9" w:rsidRPr="007728D9" w:rsidRDefault="007728D9" w:rsidP="007728D9">
            <w:pPr>
              <w:rPr>
                <w:rFonts w:eastAsia="Times New Roman" w:cs="Times New Roman"/>
                <w:color w:val="000000"/>
              </w:rPr>
            </w:pPr>
            <w:r w:rsidRPr="007728D9">
              <w:rPr>
                <w:rFonts w:eastAsia="Times New Roman" w:cs="Times New Roman"/>
                <w:color w:val="000000"/>
              </w:rPr>
              <w:t>0.16</w:t>
            </w:r>
          </w:p>
        </w:tc>
      </w:tr>
      <w:tr w:rsidR="007728D9" w:rsidTr="007728D9">
        <w:tc>
          <w:tcPr>
            <w:tcW w:w="1639" w:type="dxa"/>
          </w:tcPr>
          <w:p w:rsidR="007728D9" w:rsidRDefault="007728D9" w:rsidP="007728D9">
            <w:pPr>
              <w:autoSpaceDE w:val="0"/>
              <w:autoSpaceDN w:val="0"/>
              <w:adjustRightInd w:val="0"/>
              <w:jc w:val="both"/>
            </w:pPr>
            <w:r>
              <w:t>Dawson, 2006.</w:t>
            </w:r>
          </w:p>
        </w:tc>
        <w:tc>
          <w:tcPr>
            <w:tcW w:w="1593" w:type="dxa"/>
          </w:tcPr>
          <w:p w:rsidR="007728D9" w:rsidRDefault="007728D9" w:rsidP="007728D9">
            <w:pPr>
              <w:autoSpaceDE w:val="0"/>
              <w:autoSpaceDN w:val="0"/>
              <w:adjustRightInd w:val="0"/>
              <w:jc w:val="both"/>
            </w:pPr>
            <w:r>
              <w:t>Lab sample</w:t>
            </w:r>
          </w:p>
        </w:tc>
        <w:tc>
          <w:tcPr>
            <w:tcW w:w="1643" w:type="dxa"/>
          </w:tcPr>
          <w:p w:rsidR="007728D9" w:rsidRDefault="007728D9" w:rsidP="007728D9">
            <w:pPr>
              <w:autoSpaceDE w:val="0"/>
              <w:autoSpaceDN w:val="0"/>
              <w:adjustRightInd w:val="0"/>
              <w:jc w:val="both"/>
            </w:pPr>
            <w:r>
              <w:t>West Sedgemoor</w:t>
            </w:r>
          </w:p>
        </w:tc>
        <w:tc>
          <w:tcPr>
            <w:tcW w:w="1536" w:type="dxa"/>
          </w:tcPr>
          <w:p w:rsidR="007728D9" w:rsidRDefault="00BD4A95" w:rsidP="00142410">
            <w:pPr>
              <w:autoSpaceDE w:val="0"/>
              <w:autoSpaceDN w:val="0"/>
              <w:adjustRightInd w:val="0"/>
              <w:jc w:val="both"/>
            </w:pPr>
            <w:r>
              <w:t>0.85 to 1.0</w:t>
            </w:r>
          </w:p>
        </w:tc>
        <w:tc>
          <w:tcPr>
            <w:tcW w:w="1302" w:type="dxa"/>
          </w:tcPr>
          <w:p w:rsidR="007728D9" w:rsidRDefault="007728D9" w:rsidP="00142410">
            <w:pPr>
              <w:autoSpaceDE w:val="0"/>
              <w:autoSpaceDN w:val="0"/>
              <w:adjustRightInd w:val="0"/>
              <w:jc w:val="both"/>
            </w:pPr>
            <w:r>
              <w:t>Semi-fibrous peat</w:t>
            </w:r>
          </w:p>
        </w:tc>
        <w:tc>
          <w:tcPr>
            <w:tcW w:w="1529" w:type="dxa"/>
          </w:tcPr>
          <w:p w:rsidR="007728D9" w:rsidRPr="007728D9" w:rsidRDefault="007728D9" w:rsidP="007728D9">
            <w:pPr>
              <w:rPr>
                <w:rFonts w:eastAsia="Times New Roman" w:cs="Times New Roman"/>
                <w:color w:val="000000"/>
              </w:rPr>
            </w:pPr>
            <w:r w:rsidRPr="007728D9">
              <w:rPr>
                <w:rFonts w:eastAsia="Times New Roman" w:cs="Times New Roman"/>
                <w:color w:val="000000"/>
              </w:rPr>
              <w:t>0.24</w:t>
            </w:r>
          </w:p>
        </w:tc>
      </w:tr>
      <w:tr w:rsidR="00BD4A95" w:rsidTr="007728D9">
        <w:tc>
          <w:tcPr>
            <w:tcW w:w="1639" w:type="dxa"/>
          </w:tcPr>
          <w:p w:rsidR="00BD4A95" w:rsidRDefault="00BD4A95" w:rsidP="00142410">
            <w:pPr>
              <w:autoSpaceDE w:val="0"/>
              <w:autoSpaceDN w:val="0"/>
              <w:adjustRightInd w:val="0"/>
              <w:jc w:val="both"/>
            </w:pPr>
            <w:r>
              <w:t>Armstrong, 1993.</w:t>
            </w:r>
          </w:p>
        </w:tc>
        <w:tc>
          <w:tcPr>
            <w:tcW w:w="1593" w:type="dxa"/>
          </w:tcPr>
          <w:p w:rsidR="00BD4A95" w:rsidRDefault="00BD4A95" w:rsidP="00142410">
            <w:pPr>
              <w:autoSpaceDE w:val="0"/>
              <w:autoSpaceDN w:val="0"/>
              <w:adjustRightInd w:val="0"/>
              <w:jc w:val="both"/>
            </w:pPr>
            <w:r>
              <w:t>Water table analysis</w:t>
            </w:r>
          </w:p>
        </w:tc>
        <w:tc>
          <w:tcPr>
            <w:tcW w:w="1643" w:type="dxa"/>
          </w:tcPr>
          <w:p w:rsidR="00BD4A95" w:rsidRDefault="00BD4A95" w:rsidP="00BD4A95">
            <w:pPr>
              <w:autoSpaceDE w:val="0"/>
              <w:autoSpaceDN w:val="0"/>
              <w:adjustRightInd w:val="0"/>
              <w:jc w:val="both"/>
            </w:pPr>
            <w:r>
              <w:t>SLMs</w:t>
            </w:r>
          </w:p>
        </w:tc>
        <w:tc>
          <w:tcPr>
            <w:tcW w:w="1536" w:type="dxa"/>
          </w:tcPr>
          <w:p w:rsidR="00BD4A95" w:rsidRDefault="00BD4A95" w:rsidP="00142410">
            <w:pPr>
              <w:autoSpaceDE w:val="0"/>
              <w:autoSpaceDN w:val="0"/>
              <w:adjustRightInd w:val="0"/>
              <w:jc w:val="both"/>
            </w:pPr>
            <w:r>
              <w:t>Single value</w:t>
            </w:r>
          </w:p>
        </w:tc>
        <w:tc>
          <w:tcPr>
            <w:tcW w:w="1302" w:type="dxa"/>
          </w:tcPr>
          <w:p w:rsidR="00BD4A95" w:rsidRDefault="00BD4A95" w:rsidP="00142410">
            <w:pPr>
              <w:autoSpaceDE w:val="0"/>
              <w:autoSpaceDN w:val="0"/>
              <w:adjustRightInd w:val="0"/>
              <w:jc w:val="both"/>
            </w:pPr>
            <w:r>
              <w:t>Single value</w:t>
            </w:r>
          </w:p>
        </w:tc>
        <w:tc>
          <w:tcPr>
            <w:tcW w:w="1529" w:type="dxa"/>
          </w:tcPr>
          <w:p w:rsidR="00BD4A95" w:rsidRDefault="00BD4A95" w:rsidP="00142410">
            <w:pPr>
              <w:autoSpaceDE w:val="0"/>
              <w:autoSpaceDN w:val="0"/>
              <w:adjustRightInd w:val="0"/>
              <w:jc w:val="both"/>
            </w:pPr>
            <w:r>
              <w:t>0.05</w:t>
            </w:r>
          </w:p>
        </w:tc>
      </w:tr>
      <w:tr w:rsidR="007728D9" w:rsidTr="007728D9">
        <w:tc>
          <w:tcPr>
            <w:tcW w:w="1639" w:type="dxa"/>
          </w:tcPr>
          <w:p w:rsidR="007728D9" w:rsidRDefault="00242135" w:rsidP="00142410">
            <w:pPr>
              <w:autoSpaceDE w:val="0"/>
              <w:autoSpaceDN w:val="0"/>
              <w:adjustRightInd w:val="0"/>
              <w:jc w:val="both"/>
            </w:pPr>
            <w:r>
              <w:t>Armstrong</w:t>
            </w:r>
            <w:r w:rsidR="00BD4A95">
              <w:t xml:space="preserve"> and Rose</w:t>
            </w:r>
            <w:r>
              <w:t>, 1999</w:t>
            </w:r>
            <w:r w:rsidR="007728D9">
              <w:t>.</w:t>
            </w:r>
          </w:p>
        </w:tc>
        <w:tc>
          <w:tcPr>
            <w:tcW w:w="1593" w:type="dxa"/>
          </w:tcPr>
          <w:p w:rsidR="007728D9" w:rsidRDefault="007728D9" w:rsidP="00142410">
            <w:pPr>
              <w:autoSpaceDE w:val="0"/>
              <w:autoSpaceDN w:val="0"/>
              <w:adjustRightInd w:val="0"/>
              <w:jc w:val="both"/>
            </w:pPr>
            <w:r>
              <w:t>Water table analysis</w:t>
            </w:r>
          </w:p>
        </w:tc>
        <w:tc>
          <w:tcPr>
            <w:tcW w:w="1643" w:type="dxa"/>
          </w:tcPr>
          <w:p w:rsidR="007728D9" w:rsidRDefault="00BD4A95" w:rsidP="00BD4A95">
            <w:pPr>
              <w:autoSpaceDE w:val="0"/>
              <w:autoSpaceDN w:val="0"/>
              <w:adjustRightInd w:val="0"/>
              <w:jc w:val="both"/>
            </w:pPr>
            <w:r>
              <w:t>Southlake Moor</w:t>
            </w:r>
          </w:p>
        </w:tc>
        <w:tc>
          <w:tcPr>
            <w:tcW w:w="1536" w:type="dxa"/>
          </w:tcPr>
          <w:p w:rsidR="007728D9" w:rsidRDefault="00BD4A95" w:rsidP="00142410">
            <w:pPr>
              <w:autoSpaceDE w:val="0"/>
              <w:autoSpaceDN w:val="0"/>
              <w:adjustRightInd w:val="0"/>
              <w:jc w:val="both"/>
            </w:pPr>
            <w:r>
              <w:t>0 to 0.4</w:t>
            </w:r>
          </w:p>
        </w:tc>
        <w:tc>
          <w:tcPr>
            <w:tcW w:w="1302" w:type="dxa"/>
          </w:tcPr>
          <w:p w:rsidR="007728D9" w:rsidRDefault="00BD4A95" w:rsidP="00142410">
            <w:pPr>
              <w:autoSpaceDE w:val="0"/>
              <w:autoSpaceDN w:val="0"/>
              <w:adjustRightInd w:val="0"/>
              <w:jc w:val="both"/>
            </w:pPr>
            <w:r>
              <w:t>Clay topsoil</w:t>
            </w:r>
          </w:p>
        </w:tc>
        <w:tc>
          <w:tcPr>
            <w:tcW w:w="1529" w:type="dxa"/>
          </w:tcPr>
          <w:p w:rsidR="007728D9" w:rsidRDefault="007728D9" w:rsidP="00142410">
            <w:pPr>
              <w:autoSpaceDE w:val="0"/>
              <w:autoSpaceDN w:val="0"/>
              <w:adjustRightInd w:val="0"/>
              <w:jc w:val="both"/>
            </w:pPr>
            <w:r>
              <w:t>0.12</w:t>
            </w:r>
          </w:p>
        </w:tc>
      </w:tr>
      <w:tr w:rsidR="00242135" w:rsidTr="007728D9">
        <w:tc>
          <w:tcPr>
            <w:tcW w:w="1639" w:type="dxa"/>
          </w:tcPr>
          <w:p w:rsidR="00242135" w:rsidRDefault="00BD4A95" w:rsidP="00142410">
            <w:pPr>
              <w:autoSpaceDE w:val="0"/>
              <w:autoSpaceDN w:val="0"/>
              <w:adjustRightInd w:val="0"/>
              <w:jc w:val="both"/>
            </w:pPr>
            <w:r>
              <w:t>Armstrong and Rose, 1999.</w:t>
            </w:r>
          </w:p>
        </w:tc>
        <w:tc>
          <w:tcPr>
            <w:tcW w:w="1593" w:type="dxa"/>
          </w:tcPr>
          <w:p w:rsidR="00242135" w:rsidRDefault="00BD4A95" w:rsidP="00142410">
            <w:pPr>
              <w:autoSpaceDE w:val="0"/>
              <w:autoSpaceDN w:val="0"/>
              <w:adjustRightInd w:val="0"/>
              <w:jc w:val="both"/>
            </w:pPr>
            <w:r>
              <w:t>Water table analysis</w:t>
            </w:r>
          </w:p>
        </w:tc>
        <w:tc>
          <w:tcPr>
            <w:tcW w:w="1643" w:type="dxa"/>
          </w:tcPr>
          <w:p w:rsidR="00242135" w:rsidRDefault="00BD4A95" w:rsidP="00142410">
            <w:pPr>
              <w:autoSpaceDE w:val="0"/>
              <w:autoSpaceDN w:val="0"/>
              <w:adjustRightInd w:val="0"/>
              <w:jc w:val="both"/>
            </w:pPr>
            <w:r>
              <w:t>Southlake Moor</w:t>
            </w:r>
          </w:p>
        </w:tc>
        <w:tc>
          <w:tcPr>
            <w:tcW w:w="1536" w:type="dxa"/>
          </w:tcPr>
          <w:p w:rsidR="00242135" w:rsidRDefault="00BD4A95" w:rsidP="00142410">
            <w:pPr>
              <w:autoSpaceDE w:val="0"/>
              <w:autoSpaceDN w:val="0"/>
              <w:adjustRightInd w:val="0"/>
              <w:jc w:val="both"/>
            </w:pPr>
            <w:r>
              <w:t>0.4 to &gt; 2.0</w:t>
            </w:r>
          </w:p>
        </w:tc>
        <w:tc>
          <w:tcPr>
            <w:tcW w:w="1302" w:type="dxa"/>
          </w:tcPr>
          <w:p w:rsidR="00242135" w:rsidRDefault="00BD4A95" w:rsidP="00142410">
            <w:pPr>
              <w:autoSpaceDE w:val="0"/>
              <w:autoSpaceDN w:val="0"/>
              <w:adjustRightInd w:val="0"/>
              <w:jc w:val="both"/>
            </w:pPr>
            <w:r>
              <w:t>Subsoil peat</w:t>
            </w:r>
          </w:p>
        </w:tc>
        <w:tc>
          <w:tcPr>
            <w:tcW w:w="1529" w:type="dxa"/>
          </w:tcPr>
          <w:p w:rsidR="00242135" w:rsidRDefault="00BD4A95" w:rsidP="00142410">
            <w:pPr>
              <w:autoSpaceDE w:val="0"/>
              <w:autoSpaceDN w:val="0"/>
              <w:adjustRightInd w:val="0"/>
              <w:jc w:val="both"/>
            </w:pPr>
            <w:r>
              <w:t>0.15</w:t>
            </w:r>
          </w:p>
        </w:tc>
      </w:tr>
      <w:tr w:rsidR="007728D9" w:rsidTr="007728D9">
        <w:tc>
          <w:tcPr>
            <w:tcW w:w="1639" w:type="dxa"/>
          </w:tcPr>
          <w:p w:rsidR="007728D9" w:rsidRDefault="007728D9" w:rsidP="00142410">
            <w:pPr>
              <w:autoSpaceDE w:val="0"/>
              <w:autoSpaceDN w:val="0"/>
              <w:adjustRightInd w:val="0"/>
              <w:jc w:val="both"/>
            </w:pPr>
            <w:r>
              <w:t>Bradford</w:t>
            </w:r>
          </w:p>
        </w:tc>
        <w:tc>
          <w:tcPr>
            <w:tcW w:w="1593" w:type="dxa"/>
          </w:tcPr>
          <w:p w:rsidR="007728D9" w:rsidRDefault="007728D9" w:rsidP="00142410">
            <w:pPr>
              <w:autoSpaceDE w:val="0"/>
              <w:autoSpaceDN w:val="0"/>
              <w:adjustRightInd w:val="0"/>
              <w:jc w:val="both"/>
            </w:pPr>
            <w:r>
              <w:t>Groundwater modelling</w:t>
            </w:r>
          </w:p>
        </w:tc>
        <w:tc>
          <w:tcPr>
            <w:tcW w:w="1643" w:type="dxa"/>
          </w:tcPr>
          <w:p w:rsidR="007728D9" w:rsidRDefault="007728D9" w:rsidP="00142410">
            <w:pPr>
              <w:autoSpaceDE w:val="0"/>
              <w:autoSpaceDN w:val="0"/>
              <w:adjustRightInd w:val="0"/>
              <w:jc w:val="both"/>
            </w:pPr>
            <w:r>
              <w:t>Tadham Moor</w:t>
            </w:r>
          </w:p>
        </w:tc>
        <w:tc>
          <w:tcPr>
            <w:tcW w:w="1536" w:type="dxa"/>
          </w:tcPr>
          <w:p w:rsidR="007728D9" w:rsidRDefault="007728D9" w:rsidP="00142410">
            <w:pPr>
              <w:autoSpaceDE w:val="0"/>
              <w:autoSpaceDN w:val="0"/>
              <w:adjustRightInd w:val="0"/>
              <w:jc w:val="both"/>
            </w:pPr>
          </w:p>
        </w:tc>
        <w:tc>
          <w:tcPr>
            <w:tcW w:w="1302" w:type="dxa"/>
          </w:tcPr>
          <w:p w:rsidR="007728D9" w:rsidRDefault="007728D9" w:rsidP="00142410">
            <w:pPr>
              <w:autoSpaceDE w:val="0"/>
              <w:autoSpaceDN w:val="0"/>
              <w:adjustRightInd w:val="0"/>
              <w:jc w:val="both"/>
            </w:pPr>
          </w:p>
        </w:tc>
        <w:tc>
          <w:tcPr>
            <w:tcW w:w="1529" w:type="dxa"/>
          </w:tcPr>
          <w:p w:rsidR="007728D9" w:rsidRDefault="007728D9" w:rsidP="00142410">
            <w:pPr>
              <w:autoSpaceDE w:val="0"/>
              <w:autoSpaceDN w:val="0"/>
              <w:adjustRightInd w:val="0"/>
              <w:jc w:val="both"/>
            </w:pPr>
            <w:r>
              <w:t>0.2</w:t>
            </w:r>
          </w:p>
        </w:tc>
      </w:tr>
      <w:tr w:rsidR="003D62E0" w:rsidTr="003D62E0">
        <w:tc>
          <w:tcPr>
            <w:tcW w:w="4875" w:type="dxa"/>
            <w:gridSpan w:val="3"/>
          </w:tcPr>
          <w:p w:rsidR="003D62E0" w:rsidRDefault="003D62E0" w:rsidP="00142410">
            <w:pPr>
              <w:autoSpaceDE w:val="0"/>
              <w:autoSpaceDN w:val="0"/>
              <w:adjustRightInd w:val="0"/>
              <w:jc w:val="both"/>
            </w:pPr>
          </w:p>
        </w:tc>
        <w:tc>
          <w:tcPr>
            <w:tcW w:w="2838" w:type="dxa"/>
            <w:gridSpan w:val="2"/>
          </w:tcPr>
          <w:p w:rsidR="003D62E0" w:rsidRPr="00FC1374" w:rsidRDefault="003D62E0" w:rsidP="003D62E0">
            <w:pPr>
              <w:autoSpaceDE w:val="0"/>
              <w:autoSpaceDN w:val="0"/>
              <w:adjustRightInd w:val="0"/>
              <w:jc w:val="both"/>
              <w:rPr>
                <w:b/>
              </w:rPr>
            </w:pPr>
            <w:r w:rsidRPr="00FC1374">
              <w:rPr>
                <w:b/>
              </w:rPr>
              <w:t>Top soil – mean</w:t>
            </w:r>
          </w:p>
        </w:tc>
        <w:tc>
          <w:tcPr>
            <w:tcW w:w="1529" w:type="dxa"/>
          </w:tcPr>
          <w:p w:rsidR="003D62E0" w:rsidRPr="00FC1374" w:rsidRDefault="000C70EA" w:rsidP="00142410">
            <w:pPr>
              <w:autoSpaceDE w:val="0"/>
              <w:autoSpaceDN w:val="0"/>
              <w:adjustRightInd w:val="0"/>
              <w:jc w:val="both"/>
              <w:rPr>
                <w:b/>
              </w:rPr>
            </w:pPr>
            <w:r w:rsidRPr="00FC1374">
              <w:rPr>
                <w:b/>
              </w:rPr>
              <w:t>0.125</w:t>
            </w:r>
          </w:p>
        </w:tc>
      </w:tr>
      <w:tr w:rsidR="003D62E0" w:rsidTr="003D62E0">
        <w:tc>
          <w:tcPr>
            <w:tcW w:w="4875" w:type="dxa"/>
            <w:gridSpan w:val="3"/>
          </w:tcPr>
          <w:p w:rsidR="003D62E0" w:rsidRDefault="003D62E0" w:rsidP="00142410">
            <w:pPr>
              <w:autoSpaceDE w:val="0"/>
              <w:autoSpaceDN w:val="0"/>
              <w:adjustRightInd w:val="0"/>
              <w:jc w:val="both"/>
            </w:pPr>
          </w:p>
        </w:tc>
        <w:tc>
          <w:tcPr>
            <w:tcW w:w="2838" w:type="dxa"/>
            <w:gridSpan w:val="2"/>
          </w:tcPr>
          <w:p w:rsidR="003D62E0" w:rsidRPr="00FC1374" w:rsidRDefault="003D62E0" w:rsidP="003D62E0">
            <w:pPr>
              <w:autoSpaceDE w:val="0"/>
              <w:autoSpaceDN w:val="0"/>
              <w:adjustRightInd w:val="0"/>
              <w:jc w:val="both"/>
              <w:rPr>
                <w:b/>
              </w:rPr>
            </w:pPr>
            <w:r w:rsidRPr="00FC1374">
              <w:rPr>
                <w:b/>
              </w:rPr>
              <w:t>Top soil – likely range</w:t>
            </w:r>
          </w:p>
        </w:tc>
        <w:tc>
          <w:tcPr>
            <w:tcW w:w="1529" w:type="dxa"/>
          </w:tcPr>
          <w:p w:rsidR="003D62E0" w:rsidRPr="00FC1374" w:rsidRDefault="000C70EA" w:rsidP="00142410">
            <w:pPr>
              <w:autoSpaceDE w:val="0"/>
              <w:autoSpaceDN w:val="0"/>
              <w:adjustRightInd w:val="0"/>
              <w:jc w:val="both"/>
              <w:rPr>
                <w:b/>
              </w:rPr>
            </w:pPr>
            <w:r w:rsidRPr="00FC1374">
              <w:rPr>
                <w:b/>
              </w:rPr>
              <w:t>0.12 to 0.13</w:t>
            </w:r>
          </w:p>
        </w:tc>
      </w:tr>
      <w:tr w:rsidR="003D62E0" w:rsidTr="003D62E0">
        <w:tc>
          <w:tcPr>
            <w:tcW w:w="4875" w:type="dxa"/>
            <w:gridSpan w:val="3"/>
          </w:tcPr>
          <w:p w:rsidR="003D62E0" w:rsidRDefault="003D62E0" w:rsidP="00142410">
            <w:pPr>
              <w:autoSpaceDE w:val="0"/>
              <w:autoSpaceDN w:val="0"/>
              <w:adjustRightInd w:val="0"/>
              <w:jc w:val="both"/>
            </w:pPr>
          </w:p>
        </w:tc>
        <w:tc>
          <w:tcPr>
            <w:tcW w:w="2838" w:type="dxa"/>
            <w:gridSpan w:val="2"/>
          </w:tcPr>
          <w:p w:rsidR="003D62E0" w:rsidRPr="00FC1374" w:rsidRDefault="003D62E0" w:rsidP="003D62E0">
            <w:pPr>
              <w:autoSpaceDE w:val="0"/>
              <w:autoSpaceDN w:val="0"/>
              <w:adjustRightInd w:val="0"/>
              <w:jc w:val="both"/>
              <w:rPr>
                <w:b/>
              </w:rPr>
            </w:pPr>
            <w:r w:rsidRPr="00FC1374">
              <w:rPr>
                <w:b/>
              </w:rPr>
              <w:t>Subsoil peat – mean</w:t>
            </w:r>
          </w:p>
        </w:tc>
        <w:tc>
          <w:tcPr>
            <w:tcW w:w="1529" w:type="dxa"/>
          </w:tcPr>
          <w:p w:rsidR="003D62E0" w:rsidRPr="00FC1374" w:rsidRDefault="000C70EA" w:rsidP="00142410">
            <w:pPr>
              <w:autoSpaceDE w:val="0"/>
              <w:autoSpaceDN w:val="0"/>
              <w:adjustRightInd w:val="0"/>
              <w:jc w:val="both"/>
              <w:rPr>
                <w:b/>
              </w:rPr>
            </w:pPr>
            <w:r w:rsidRPr="00FC1374">
              <w:rPr>
                <w:b/>
              </w:rPr>
              <w:t>0.2</w:t>
            </w:r>
          </w:p>
        </w:tc>
      </w:tr>
      <w:tr w:rsidR="003D62E0" w:rsidTr="003D62E0">
        <w:tc>
          <w:tcPr>
            <w:tcW w:w="4875" w:type="dxa"/>
            <w:gridSpan w:val="3"/>
          </w:tcPr>
          <w:p w:rsidR="003D62E0" w:rsidRDefault="003D62E0" w:rsidP="00142410">
            <w:pPr>
              <w:autoSpaceDE w:val="0"/>
              <w:autoSpaceDN w:val="0"/>
              <w:adjustRightInd w:val="0"/>
              <w:jc w:val="both"/>
            </w:pPr>
          </w:p>
        </w:tc>
        <w:tc>
          <w:tcPr>
            <w:tcW w:w="2838" w:type="dxa"/>
            <w:gridSpan w:val="2"/>
          </w:tcPr>
          <w:p w:rsidR="003D62E0" w:rsidRPr="00FC1374" w:rsidRDefault="003D62E0" w:rsidP="003D62E0">
            <w:pPr>
              <w:autoSpaceDE w:val="0"/>
              <w:autoSpaceDN w:val="0"/>
              <w:adjustRightInd w:val="0"/>
              <w:jc w:val="both"/>
              <w:rPr>
                <w:b/>
              </w:rPr>
            </w:pPr>
            <w:r w:rsidRPr="00FC1374">
              <w:rPr>
                <w:b/>
              </w:rPr>
              <w:t>Subsoil peat – likely range</w:t>
            </w:r>
          </w:p>
        </w:tc>
        <w:tc>
          <w:tcPr>
            <w:tcW w:w="1529" w:type="dxa"/>
          </w:tcPr>
          <w:p w:rsidR="003D62E0" w:rsidRPr="00FC1374" w:rsidRDefault="000C70EA" w:rsidP="00142410">
            <w:pPr>
              <w:autoSpaceDE w:val="0"/>
              <w:autoSpaceDN w:val="0"/>
              <w:adjustRightInd w:val="0"/>
              <w:jc w:val="both"/>
              <w:rPr>
                <w:b/>
              </w:rPr>
            </w:pPr>
            <w:r w:rsidRPr="00FC1374">
              <w:rPr>
                <w:b/>
              </w:rPr>
              <w:t>0.15 to 0.25</w:t>
            </w:r>
          </w:p>
        </w:tc>
      </w:tr>
      <w:tr w:rsidR="003D62E0" w:rsidTr="003D62E0">
        <w:trPr>
          <w:trHeight w:val="547"/>
        </w:trPr>
        <w:tc>
          <w:tcPr>
            <w:tcW w:w="9242" w:type="dxa"/>
            <w:gridSpan w:val="6"/>
          </w:tcPr>
          <w:p w:rsidR="003D62E0" w:rsidRDefault="003D62E0" w:rsidP="00B10C2D">
            <w:pPr>
              <w:autoSpaceDE w:val="0"/>
              <w:autoSpaceDN w:val="0"/>
              <w:adjustRightInd w:val="0"/>
              <w:jc w:val="both"/>
            </w:pPr>
            <w:r>
              <w:t xml:space="preserve">Notes. The value of 0.05 from Armstrong (1993) is unusually small and </w:t>
            </w:r>
            <w:r w:rsidR="000C70EA">
              <w:t xml:space="preserve">is not included in the calculations of mean and likely range shown above. </w:t>
            </w:r>
          </w:p>
        </w:tc>
      </w:tr>
    </w:tbl>
    <w:p w:rsidR="00E971FD" w:rsidRDefault="00E971FD" w:rsidP="00142410">
      <w:pPr>
        <w:autoSpaceDE w:val="0"/>
        <w:autoSpaceDN w:val="0"/>
        <w:adjustRightInd w:val="0"/>
        <w:spacing w:after="0" w:line="240" w:lineRule="auto"/>
        <w:jc w:val="both"/>
      </w:pPr>
    </w:p>
    <w:p w:rsidR="00CB19EE" w:rsidRPr="00142410" w:rsidRDefault="00CB19EE">
      <w:r w:rsidRPr="00142410">
        <w:br w:type="page"/>
      </w:r>
    </w:p>
    <w:p w:rsidR="00CB19EE" w:rsidRPr="00CB19EE" w:rsidRDefault="00CB19EE" w:rsidP="00B4335D">
      <w:pPr>
        <w:pStyle w:val="Heading2"/>
        <w:numPr>
          <w:ilvl w:val="0"/>
          <w:numId w:val="16"/>
        </w:numPr>
      </w:pPr>
      <w:bookmarkStart w:id="11" w:name="_Toc402956178"/>
      <w:r>
        <w:lastRenderedPageBreak/>
        <w:t>The movement of water into and out of the soil body</w:t>
      </w:r>
      <w:bookmarkEnd w:id="11"/>
    </w:p>
    <w:p w:rsidR="009F5D32" w:rsidRDefault="009F5D32" w:rsidP="002540CF">
      <w:pPr>
        <w:jc w:val="both"/>
      </w:pPr>
    </w:p>
    <w:p w:rsidR="004C6643" w:rsidRPr="004C6643" w:rsidRDefault="00C52651" w:rsidP="002540CF">
      <w:pPr>
        <w:jc w:val="both"/>
      </w:pPr>
      <w:r>
        <w:t xml:space="preserve">Understanding and ultimately quantifying the movement of water between a water body and adjacent soil body is central to this study. </w:t>
      </w:r>
      <w:r w:rsidR="002540CF" w:rsidRPr="006720E7">
        <w:t>The flow of groundwater through the saturated zone is governed by the hydraulic gradient and the permeability of the soil</w:t>
      </w:r>
      <w:r w:rsidR="004C6643">
        <w:t xml:space="preserve">, </w:t>
      </w:r>
      <w:r w:rsidR="00E7400D" w:rsidRPr="006720E7">
        <w:t>the</w:t>
      </w:r>
      <w:r w:rsidR="004C6643" w:rsidRPr="006720E7">
        <w:t xml:space="preserve"> measurement of the permeability of peat soils has been found to be very difficult </w:t>
      </w:r>
      <w:r w:rsidR="004C6643">
        <w:t>(Gilman, 1994)</w:t>
      </w:r>
      <w:r w:rsidR="002540CF" w:rsidRPr="006720E7">
        <w:t xml:space="preserve">. </w:t>
      </w:r>
      <w:r w:rsidR="004C6643">
        <w:t xml:space="preserve">Other soil properties such as the degree of humification as expressed on the Von Post scale, are sometimes used as a surrogate for direct measurement of soil permeability (Belding </w:t>
      </w:r>
      <w:r w:rsidR="004C6643">
        <w:rPr>
          <w:i/>
        </w:rPr>
        <w:t xml:space="preserve">et al., </w:t>
      </w:r>
      <w:r w:rsidR="004C6643">
        <w:t>1975)</w:t>
      </w:r>
    </w:p>
    <w:p w:rsidR="00C52651" w:rsidRDefault="00C52651" w:rsidP="00C52651">
      <w:pPr>
        <w:jc w:val="both"/>
      </w:pPr>
      <w:r>
        <w:t xml:space="preserve">A useful initial step is to observe the water table profile, from the open water in a ditch and across the soil body. The water table profile reflects not only the water table in the ditch, but also the balance between rainfall and evaporation. Whilst evaporation shows a strong seasonal trend, with higher values in summer, there is not a clear seasonal trend in the precipitation dataset. When rainfall exceeds evaporation, the water table typically has a convex shape and water drains from the soil into the adjacent ditches. The reverse occurs when evaporation exceeds rainfall and water moves from the ditches into the soil. </w:t>
      </w:r>
    </w:p>
    <w:p w:rsidR="005002C7" w:rsidRDefault="005002C7" w:rsidP="005002C7">
      <w:pPr>
        <w:keepNext/>
        <w:jc w:val="both"/>
      </w:pPr>
      <w:r w:rsidRPr="005002C7">
        <w:rPr>
          <w:noProof/>
        </w:rPr>
        <w:drawing>
          <wp:inline distT="0" distB="0" distL="0" distR="0">
            <wp:extent cx="5731510" cy="3753977"/>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31510" cy="3753977"/>
                    </a:xfrm>
                    <a:prstGeom prst="rect">
                      <a:avLst/>
                    </a:prstGeom>
                    <a:noFill/>
                    <a:ln w="9525">
                      <a:noFill/>
                      <a:miter lim="800000"/>
                      <a:headEnd/>
                      <a:tailEnd/>
                    </a:ln>
                  </pic:spPr>
                </pic:pic>
              </a:graphicData>
            </a:graphic>
          </wp:inline>
        </w:drawing>
      </w:r>
    </w:p>
    <w:p w:rsidR="005002C7" w:rsidRPr="005002C7" w:rsidRDefault="005002C7" w:rsidP="005002C7">
      <w:pPr>
        <w:pStyle w:val="Caption"/>
        <w:jc w:val="both"/>
        <w:rPr>
          <w:b w:val="0"/>
          <w:color w:val="auto"/>
          <w:sz w:val="22"/>
          <w:szCs w:val="22"/>
        </w:rPr>
      </w:pPr>
      <w:r w:rsidRPr="005002C7">
        <w:rPr>
          <w:b w:val="0"/>
          <w:color w:val="auto"/>
          <w:sz w:val="22"/>
          <w:szCs w:val="22"/>
        </w:rPr>
        <w:t xml:space="preserve">Figure </w:t>
      </w:r>
      <w:r w:rsidR="00251534" w:rsidRPr="005002C7">
        <w:rPr>
          <w:b w:val="0"/>
          <w:color w:val="auto"/>
          <w:sz w:val="22"/>
          <w:szCs w:val="22"/>
        </w:rPr>
        <w:fldChar w:fldCharType="begin"/>
      </w:r>
      <w:r w:rsidRPr="005002C7">
        <w:rPr>
          <w:b w:val="0"/>
          <w:color w:val="auto"/>
          <w:sz w:val="22"/>
          <w:szCs w:val="22"/>
        </w:rPr>
        <w:instrText xml:space="preserve"> SEQ Figure \* ARABIC </w:instrText>
      </w:r>
      <w:r w:rsidR="00251534" w:rsidRPr="005002C7">
        <w:rPr>
          <w:b w:val="0"/>
          <w:color w:val="auto"/>
          <w:sz w:val="22"/>
          <w:szCs w:val="22"/>
        </w:rPr>
        <w:fldChar w:fldCharType="separate"/>
      </w:r>
      <w:r w:rsidR="000E193B">
        <w:rPr>
          <w:b w:val="0"/>
          <w:noProof/>
          <w:color w:val="auto"/>
          <w:sz w:val="22"/>
          <w:szCs w:val="22"/>
        </w:rPr>
        <w:t>8</w:t>
      </w:r>
      <w:r w:rsidR="00251534" w:rsidRPr="005002C7">
        <w:rPr>
          <w:b w:val="0"/>
          <w:color w:val="auto"/>
          <w:sz w:val="22"/>
          <w:szCs w:val="22"/>
        </w:rPr>
        <w:fldChar w:fldCharType="end"/>
      </w:r>
      <w:r>
        <w:rPr>
          <w:b w:val="0"/>
          <w:color w:val="auto"/>
          <w:sz w:val="22"/>
          <w:szCs w:val="22"/>
        </w:rPr>
        <w:t>.</w:t>
      </w:r>
      <w:r w:rsidRPr="005002C7">
        <w:rPr>
          <w:b w:val="0"/>
          <w:color w:val="auto"/>
          <w:sz w:val="22"/>
          <w:szCs w:val="22"/>
        </w:rPr>
        <w:t xml:space="preserve"> Cross section from ditch, through the soil body, to ditch</w:t>
      </w:r>
      <w:r>
        <w:rPr>
          <w:b w:val="0"/>
          <w:color w:val="auto"/>
          <w:sz w:val="22"/>
          <w:szCs w:val="22"/>
        </w:rPr>
        <w:t xml:space="preserve"> showing th</w:t>
      </w:r>
      <w:r w:rsidRPr="005002C7">
        <w:rPr>
          <w:b w:val="0"/>
          <w:color w:val="auto"/>
          <w:sz w:val="22"/>
          <w:szCs w:val="22"/>
        </w:rPr>
        <w:t>e elevation of the water table at Tadham Moor.</w:t>
      </w:r>
      <w:r w:rsidR="000F645F">
        <w:rPr>
          <w:b w:val="0"/>
          <w:color w:val="auto"/>
          <w:sz w:val="22"/>
          <w:szCs w:val="22"/>
        </w:rPr>
        <w:t xml:space="preserve"> The figure shows </w:t>
      </w:r>
      <w:r w:rsidRPr="005002C7">
        <w:rPr>
          <w:b w:val="0"/>
          <w:color w:val="auto"/>
          <w:sz w:val="22"/>
          <w:szCs w:val="22"/>
        </w:rPr>
        <w:t>a cross-section through a field, with ditc</w:t>
      </w:r>
      <w:r w:rsidR="000F645F">
        <w:rPr>
          <w:b w:val="0"/>
          <w:color w:val="auto"/>
          <w:sz w:val="22"/>
          <w:szCs w:val="22"/>
        </w:rPr>
        <w:t>hes on either side at 0 m and 100</w:t>
      </w:r>
      <w:r w:rsidRPr="005002C7">
        <w:rPr>
          <w:b w:val="0"/>
          <w:color w:val="auto"/>
          <w:sz w:val="22"/>
          <w:szCs w:val="22"/>
        </w:rPr>
        <w:t xml:space="preserve"> m across the field. The x axis is the horizontal distance across the field and the y axis is the elevation measured against a local datum. For reference the soil surfa</w:t>
      </w:r>
      <w:r w:rsidR="000F645F">
        <w:rPr>
          <w:b w:val="0"/>
          <w:color w:val="auto"/>
          <w:sz w:val="22"/>
          <w:szCs w:val="22"/>
        </w:rPr>
        <w:t>ce is at approximately 2.3</w:t>
      </w:r>
      <w:r w:rsidRPr="005002C7">
        <w:rPr>
          <w:b w:val="0"/>
          <w:color w:val="auto"/>
          <w:sz w:val="22"/>
          <w:szCs w:val="22"/>
        </w:rPr>
        <w:t xml:space="preserve"> m. Measurements of the water table in the soil were made at the following distances across the field; 1 m, 16 m, 25 m, 40 m and 50 m. Three time periods are shown and the changing shape of the water table can be clearly seen. </w:t>
      </w:r>
    </w:p>
    <w:p w:rsidR="005002C7" w:rsidRDefault="005002C7" w:rsidP="005002C7">
      <w:pPr>
        <w:pStyle w:val="Caption"/>
        <w:jc w:val="both"/>
      </w:pPr>
    </w:p>
    <w:p w:rsidR="00C52651" w:rsidRDefault="00A12490" w:rsidP="00C52651">
      <w:pPr>
        <w:jc w:val="both"/>
      </w:pPr>
      <w:r>
        <w:lastRenderedPageBreak/>
        <w:t>Figure 8</w:t>
      </w:r>
      <w:r w:rsidR="00C52651">
        <w:t xml:space="preserve"> shows water level data collected from Tadham Moor in July, September and December of 1997. The changing shape of the water table can be clearly seen. In July, the water level in the ditch is at 1.93 m whilst in the centre of the field the water table is at 1.67 m. Through September and on to December, decreasing evaporation drives a change in amount of rainfall that recharges the water table so whilst the level in the ditch decreases from 1.87 m in September to 1.82 m in December, the water level in the centre of the field increases from 1.96 m to 2.35 m. It is important to note the limited influence of the difference in ditch water level. Most notable in July and December, there is an abrupt change in water level between the ditch and the monitoring point at 1 m from the ditch in both cases of the order of 10 cm in 1 m (a gradient 10%). By comparison, the gradient across the field as a whole is 0.8% in winter and 0.3% in summer. The significance of this abrupt change at the ditch/field interface is that it suggests that there is only weak hydraulic connectivity between the two. If the hydraulic connectivity was higher, and the movement of water between the two was more rapid, then it would be unlikely that such a difference in water levels could be sustained. </w:t>
      </w:r>
    </w:p>
    <w:p w:rsidR="00B6053F" w:rsidRPr="00AD1249" w:rsidRDefault="004C6643" w:rsidP="00B6053F">
      <w:pPr>
        <w:jc w:val="both"/>
      </w:pPr>
      <w:r w:rsidRPr="006720E7">
        <w:t>The range of values of permeability of peats is very large</w:t>
      </w:r>
      <w:r>
        <w:t xml:space="preserve"> and </w:t>
      </w:r>
      <w:r w:rsidRPr="006720E7">
        <w:t xml:space="preserve">there is </w:t>
      </w:r>
      <w:r>
        <w:t xml:space="preserve">generally </w:t>
      </w:r>
      <w:r w:rsidRPr="006720E7">
        <w:t>no consistent difference between the permeabilities in the horizontal and vertical directions</w:t>
      </w:r>
      <w:r>
        <w:t>.</w:t>
      </w:r>
      <w:r w:rsidRPr="006720E7">
        <w:t xml:space="preserve"> Boelter (1965) found values </w:t>
      </w:r>
      <w:r w:rsidRPr="00D35F3C">
        <w:t xml:space="preserve">from 0.0065 m </w:t>
      </w:r>
      <w:r w:rsidR="00D35F3C" w:rsidRPr="00D35F3C">
        <w:t>d</w:t>
      </w:r>
      <w:r w:rsidR="00D35F3C" w:rsidRPr="00D35F3C">
        <w:rPr>
          <w:vertAlign w:val="superscript"/>
        </w:rPr>
        <w:t>-1</w:t>
      </w:r>
      <w:r w:rsidRPr="00D35F3C">
        <w:t xml:space="preserve"> for moderately</w:t>
      </w:r>
      <w:r w:rsidRPr="006720E7">
        <w:t xml:space="preserve"> decomposed </w:t>
      </w:r>
      <w:r w:rsidRPr="00D35F3C">
        <w:t>fen peat to 33 m d</w:t>
      </w:r>
      <w:r w:rsidRPr="00D35F3C">
        <w:rPr>
          <w:vertAlign w:val="superscript"/>
        </w:rPr>
        <w:t>-1</w:t>
      </w:r>
      <w:r w:rsidRPr="00D35F3C">
        <w:t xml:space="preserve"> for undecomposed</w:t>
      </w:r>
      <w:r w:rsidRPr="006720E7">
        <w:t xml:space="preserve"> mosses. Very large permeabilities, sometimes too large to measure, </w:t>
      </w:r>
      <w:r>
        <w:t>can be</w:t>
      </w:r>
      <w:r w:rsidRPr="006720E7">
        <w:t xml:space="preserve"> found in the upper horizons of mires where undecomposed material contains large voids. Hence </w:t>
      </w:r>
      <w:r>
        <w:t xml:space="preserve">at some sites, </w:t>
      </w:r>
      <w:r w:rsidRPr="006720E7">
        <w:t>much of the lateral groundwater flow occur</w:t>
      </w:r>
      <w:r>
        <w:t>s</w:t>
      </w:r>
      <w:r w:rsidRPr="006720E7">
        <w:t xml:space="preserve"> in these upper horizons</w:t>
      </w:r>
      <w:r w:rsidR="002C38AB">
        <w:t xml:space="preserve"> (Gilman, 1994</w:t>
      </w:r>
      <w:r>
        <w:t>).</w:t>
      </w:r>
      <w:r w:rsidR="00D35F3C" w:rsidRPr="00D35F3C">
        <w:t xml:space="preserve"> </w:t>
      </w:r>
      <w:r w:rsidR="00D35F3C">
        <w:t xml:space="preserve">Dawson (2006), carried out numerical simulations of water table observations from West Sedgemoor. A good fit between observed and modelled data was achieved using a saturated hydraulic conductivity value of 1.77 m/d. </w:t>
      </w:r>
      <w:r w:rsidR="00B6053F">
        <w:t>Bradford (2004) constructed a numerical groundwater flow model of fields at Tadham moor and found that the best fit between observed and modelled data was achieved using a hydraulic conductivity value of 2 m d</w:t>
      </w:r>
      <w:r w:rsidR="00B6053F">
        <w:rPr>
          <w:vertAlign w:val="superscript"/>
        </w:rPr>
        <w:t>-1</w:t>
      </w:r>
      <w:r w:rsidR="00B6053F">
        <w:t xml:space="preserve">. </w:t>
      </w:r>
      <w:r w:rsidR="00AD1249">
        <w:t>Similar modelli</w:t>
      </w:r>
      <w:r w:rsidR="002C38AB">
        <w:t xml:space="preserve">ng was </w:t>
      </w:r>
      <w:r w:rsidR="00C96E1F">
        <w:t xml:space="preserve">reported by Acreman </w:t>
      </w:r>
      <w:r w:rsidR="00C96E1F">
        <w:rPr>
          <w:i/>
        </w:rPr>
        <w:t>et al</w:t>
      </w:r>
      <w:r w:rsidR="00C96E1F">
        <w:t>. (</w:t>
      </w:r>
      <w:r w:rsidR="000F645F">
        <w:t>2004)</w:t>
      </w:r>
      <w:r w:rsidR="002C38AB">
        <w:t xml:space="preserve"> </w:t>
      </w:r>
      <w:r w:rsidR="00AC323D">
        <w:t>and the results for one dipwell at Ta</w:t>
      </w:r>
      <w:r w:rsidR="000F645F">
        <w:t>dham Moor are shown in Figure 9</w:t>
      </w:r>
      <w:r w:rsidR="00AD1249">
        <w:t xml:space="preserve">. </w:t>
      </w:r>
    </w:p>
    <w:p w:rsidR="00AD1249" w:rsidRDefault="00AD1249" w:rsidP="00F54328">
      <w:pPr>
        <w:keepNext/>
        <w:jc w:val="center"/>
      </w:pPr>
      <w:r>
        <w:rPr>
          <w:noProof/>
        </w:rPr>
        <w:drawing>
          <wp:inline distT="0" distB="0" distL="0" distR="0">
            <wp:extent cx="4215684" cy="3193961"/>
            <wp:effectExtent l="19050" t="0" r="0" b="0"/>
            <wp:docPr id="11" name="Picture 7" descr="N:\Charlie\Projects\Tadham Moor modelling\Charlie's Models - use these\Block 3 Ctrl new data\B\Well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harlie\Projects\Tadham Moor modelling\Charlie's Models - use these\Block 3 Ctrl new data\B\Well4.wmf"/>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222923" cy="3199446"/>
                    </a:xfrm>
                    <a:prstGeom prst="rect">
                      <a:avLst/>
                    </a:prstGeom>
                    <a:noFill/>
                    <a:ln w="9525">
                      <a:noFill/>
                      <a:miter lim="800000"/>
                      <a:headEnd/>
                      <a:tailEnd/>
                    </a:ln>
                  </pic:spPr>
                </pic:pic>
              </a:graphicData>
            </a:graphic>
          </wp:inline>
        </w:drawing>
      </w:r>
    </w:p>
    <w:p w:rsidR="00AD1249" w:rsidRPr="000C073A" w:rsidRDefault="00AD1249" w:rsidP="00AD1249">
      <w:pPr>
        <w:pStyle w:val="Caption"/>
        <w:jc w:val="both"/>
        <w:rPr>
          <w:b w:val="0"/>
          <w:color w:val="auto"/>
          <w:sz w:val="22"/>
          <w:szCs w:val="22"/>
        </w:rPr>
      </w:pPr>
      <w:r w:rsidRPr="000C073A">
        <w:rPr>
          <w:b w:val="0"/>
          <w:color w:val="auto"/>
          <w:sz w:val="22"/>
          <w:szCs w:val="22"/>
        </w:rPr>
        <w:t xml:space="preserve">Figure </w:t>
      </w:r>
      <w:r w:rsidR="00251534" w:rsidRPr="000C073A">
        <w:rPr>
          <w:b w:val="0"/>
          <w:color w:val="auto"/>
          <w:sz w:val="22"/>
          <w:szCs w:val="22"/>
        </w:rPr>
        <w:fldChar w:fldCharType="begin"/>
      </w:r>
      <w:r w:rsidRPr="000C073A">
        <w:rPr>
          <w:b w:val="0"/>
          <w:color w:val="auto"/>
          <w:sz w:val="22"/>
          <w:szCs w:val="22"/>
        </w:rPr>
        <w:instrText xml:space="preserve"> SEQ Figure \* ARABIC </w:instrText>
      </w:r>
      <w:r w:rsidR="00251534" w:rsidRPr="000C073A">
        <w:rPr>
          <w:b w:val="0"/>
          <w:color w:val="auto"/>
          <w:sz w:val="22"/>
          <w:szCs w:val="22"/>
        </w:rPr>
        <w:fldChar w:fldCharType="separate"/>
      </w:r>
      <w:r w:rsidR="000E193B">
        <w:rPr>
          <w:b w:val="0"/>
          <w:noProof/>
          <w:color w:val="auto"/>
          <w:sz w:val="22"/>
          <w:szCs w:val="22"/>
        </w:rPr>
        <w:t>9</w:t>
      </w:r>
      <w:r w:rsidR="00251534" w:rsidRPr="000C073A">
        <w:rPr>
          <w:b w:val="0"/>
          <w:color w:val="auto"/>
          <w:sz w:val="22"/>
          <w:szCs w:val="22"/>
        </w:rPr>
        <w:fldChar w:fldCharType="end"/>
      </w:r>
      <w:r w:rsidR="00F54328">
        <w:rPr>
          <w:b w:val="0"/>
          <w:color w:val="auto"/>
          <w:sz w:val="22"/>
          <w:szCs w:val="22"/>
        </w:rPr>
        <w:t>.</w:t>
      </w:r>
      <w:r w:rsidRPr="000C073A">
        <w:rPr>
          <w:b w:val="0"/>
          <w:color w:val="auto"/>
          <w:sz w:val="22"/>
          <w:szCs w:val="22"/>
        </w:rPr>
        <w:t xml:space="preserve"> Output from application of MODFLOW to Tadham Moor. Graph shows dipwell 4 - observed and modelled results.</w:t>
      </w:r>
    </w:p>
    <w:p w:rsidR="00477B5D" w:rsidRDefault="00D35F3C" w:rsidP="000E2309">
      <w:pPr>
        <w:jc w:val="both"/>
        <w:rPr>
          <w:rFonts w:cs="AdvTT5235d5a9"/>
          <w:color w:val="231F20"/>
        </w:rPr>
      </w:pPr>
      <w:r>
        <w:lastRenderedPageBreak/>
        <w:t xml:space="preserve">Despite the high variability of hydraulic conductivity of peat soils, Armstrong </w:t>
      </w:r>
      <w:r>
        <w:rPr>
          <w:i/>
        </w:rPr>
        <w:t>et al.</w:t>
      </w:r>
      <w:r w:rsidR="00702E03">
        <w:t xml:space="preserve"> (1993</w:t>
      </w:r>
      <w:r>
        <w:t>) propose a value of 0.96 m/day as representative of a typical value for peat soils in the UK. By contrast, a value of 0.024 m/day is proposed for alluvial clay soils.</w:t>
      </w:r>
      <w:r w:rsidR="00E048E6">
        <w:t xml:space="preserve"> </w:t>
      </w:r>
      <w:r w:rsidR="00E048E6" w:rsidRPr="00144350">
        <w:rPr>
          <w:rFonts w:cs="AdvTT5235d5a9"/>
          <w:color w:val="231F20"/>
        </w:rPr>
        <w:t xml:space="preserve">Kechavarzi </w:t>
      </w:r>
      <w:r w:rsidR="00E048E6" w:rsidRPr="00144350">
        <w:rPr>
          <w:rFonts w:cs="AdvTT5235d5a9"/>
          <w:i/>
          <w:color w:val="231F20"/>
        </w:rPr>
        <w:t xml:space="preserve">et al., </w:t>
      </w:r>
      <w:r w:rsidR="00E048E6">
        <w:rPr>
          <w:rFonts w:cs="AdvTT5235d5a9"/>
          <w:color w:val="231F20"/>
        </w:rPr>
        <w:t>(</w:t>
      </w:r>
      <w:r w:rsidR="00E048E6" w:rsidRPr="00144350">
        <w:rPr>
          <w:rFonts w:cs="AdvTT5235d5a9"/>
          <w:color w:val="231F20"/>
        </w:rPr>
        <w:t>2010</w:t>
      </w:r>
      <w:r w:rsidR="00E048E6">
        <w:rPr>
          <w:rFonts w:cs="AdvTT5235d5a9"/>
          <w:color w:val="231F20"/>
        </w:rPr>
        <w:t>) analysed samples from West Sedgemoor and found horizontal saturated hydraulic conductivity to range from 1.51 m d</w:t>
      </w:r>
      <w:r w:rsidR="00E048E6">
        <w:rPr>
          <w:rFonts w:cs="AdvTT5235d5a9"/>
          <w:color w:val="231F20"/>
          <w:vertAlign w:val="superscript"/>
        </w:rPr>
        <w:t>-1</w:t>
      </w:r>
      <w:r w:rsidR="00E048E6">
        <w:rPr>
          <w:rFonts w:cs="AdvTT5235d5a9"/>
          <w:color w:val="231F20"/>
        </w:rPr>
        <w:t xml:space="preserve"> to 2.3 m d</w:t>
      </w:r>
      <w:r w:rsidR="00E048E6">
        <w:rPr>
          <w:rFonts w:cs="AdvTT5235d5a9"/>
          <w:color w:val="231F20"/>
          <w:vertAlign w:val="superscript"/>
        </w:rPr>
        <w:t>-1</w:t>
      </w:r>
      <w:r w:rsidR="00E048E6">
        <w:rPr>
          <w:rFonts w:cs="AdvTT5235d5a9"/>
          <w:color w:val="231F20"/>
        </w:rPr>
        <w:t xml:space="preserve"> </w:t>
      </w:r>
      <w:r w:rsidR="00681897">
        <w:rPr>
          <w:rFonts w:cs="AdvTT5235d5a9"/>
          <w:color w:val="231F20"/>
        </w:rPr>
        <w:t>depending upon soil type</w:t>
      </w:r>
      <w:r w:rsidR="00C41156">
        <w:rPr>
          <w:rFonts w:cs="AdvTT5235d5a9"/>
          <w:color w:val="231F20"/>
        </w:rPr>
        <w:t xml:space="preserve"> </w:t>
      </w:r>
      <w:r w:rsidR="00E048E6">
        <w:rPr>
          <w:rFonts w:cs="AdvTT5235d5a9"/>
          <w:color w:val="231F20"/>
        </w:rPr>
        <w:t>(Table 5). Vertical hydraulic conductivity ranged from 0.14 m d</w:t>
      </w:r>
      <w:r w:rsidR="00E048E6">
        <w:rPr>
          <w:rFonts w:cs="AdvTT5235d5a9"/>
          <w:color w:val="231F20"/>
          <w:vertAlign w:val="superscript"/>
        </w:rPr>
        <w:t>-1</w:t>
      </w:r>
      <w:r w:rsidR="00E048E6">
        <w:rPr>
          <w:rFonts w:cs="AdvTT5235d5a9"/>
          <w:color w:val="231F20"/>
        </w:rPr>
        <w:t xml:space="preserve"> to 1.1 m d</w:t>
      </w:r>
      <w:r w:rsidR="00E048E6">
        <w:rPr>
          <w:rFonts w:cs="AdvTT5235d5a9"/>
          <w:color w:val="231F20"/>
          <w:vertAlign w:val="superscript"/>
        </w:rPr>
        <w:t>-1</w:t>
      </w:r>
      <w:r w:rsidR="00E048E6">
        <w:rPr>
          <w:rFonts w:cs="AdvTT5235d5a9"/>
          <w:color w:val="231F20"/>
        </w:rPr>
        <w:t xml:space="preserve">. Dawson (2006) </w:t>
      </w:r>
      <w:r w:rsidR="00B6053F">
        <w:rPr>
          <w:rFonts w:cs="AdvTT5235d5a9"/>
          <w:color w:val="231F20"/>
        </w:rPr>
        <w:t>measured</w:t>
      </w:r>
      <w:r w:rsidR="00E048E6">
        <w:rPr>
          <w:rFonts w:cs="AdvTT5235d5a9"/>
          <w:color w:val="231F20"/>
        </w:rPr>
        <w:t xml:space="preserve"> </w:t>
      </w:r>
      <w:r w:rsidR="00B6053F">
        <w:rPr>
          <w:rFonts w:cs="AdvTT5235d5a9"/>
          <w:color w:val="231F20"/>
        </w:rPr>
        <w:t xml:space="preserve">the </w:t>
      </w:r>
      <w:r w:rsidR="00E048E6">
        <w:rPr>
          <w:rFonts w:cs="AdvTT5235d5a9"/>
          <w:color w:val="231F20"/>
        </w:rPr>
        <w:t xml:space="preserve">field </w:t>
      </w:r>
      <w:r w:rsidR="00B6053F">
        <w:rPr>
          <w:rFonts w:cs="AdvTT5235d5a9"/>
          <w:color w:val="231F20"/>
        </w:rPr>
        <w:t xml:space="preserve">derived saturated hydraulic conductivity </w:t>
      </w:r>
      <w:r w:rsidR="00E048E6">
        <w:rPr>
          <w:rFonts w:cs="AdvTT5235d5a9"/>
          <w:color w:val="231F20"/>
        </w:rPr>
        <w:t>of peats at West Sedgemoor and found the</w:t>
      </w:r>
      <w:r w:rsidR="00B6053F">
        <w:rPr>
          <w:rFonts w:cs="AdvTT5235d5a9"/>
          <w:color w:val="231F20"/>
        </w:rPr>
        <w:t xml:space="preserve"> mean</w:t>
      </w:r>
      <w:r w:rsidR="00E048E6">
        <w:rPr>
          <w:rFonts w:cs="AdvTT5235d5a9"/>
          <w:color w:val="231F20"/>
        </w:rPr>
        <w:t xml:space="preserve"> to be 0.8 m d</w:t>
      </w:r>
      <w:r w:rsidR="00E048E6">
        <w:rPr>
          <w:rFonts w:cs="AdvTT5235d5a9"/>
          <w:color w:val="231F20"/>
          <w:vertAlign w:val="superscript"/>
        </w:rPr>
        <w:t>-1</w:t>
      </w:r>
      <w:r w:rsidR="00B6053F">
        <w:rPr>
          <w:rFonts w:cs="AdvTT5235d5a9"/>
          <w:color w:val="231F20"/>
        </w:rPr>
        <w:t>. Of 16 samples, the minimum was 0.28 m d</w:t>
      </w:r>
      <w:r w:rsidR="00B6053F">
        <w:rPr>
          <w:rFonts w:cs="AdvTT5235d5a9"/>
          <w:color w:val="231F20"/>
          <w:vertAlign w:val="superscript"/>
        </w:rPr>
        <w:t>-1</w:t>
      </w:r>
      <w:r w:rsidR="00B6053F">
        <w:rPr>
          <w:rFonts w:cs="AdvTT5235d5a9"/>
          <w:color w:val="231F20"/>
        </w:rPr>
        <w:t xml:space="preserve"> and maximum was 3.57 m d</w:t>
      </w:r>
      <w:r w:rsidR="00B6053F">
        <w:rPr>
          <w:rFonts w:cs="AdvTT5235d5a9"/>
          <w:color w:val="231F20"/>
          <w:vertAlign w:val="superscript"/>
        </w:rPr>
        <w:t>-1</w:t>
      </w:r>
      <w:r w:rsidR="00B6053F">
        <w:rPr>
          <w:rFonts w:cs="AdvTT5235d5a9"/>
          <w:color w:val="231F20"/>
        </w:rPr>
        <w:t xml:space="preserve">. </w:t>
      </w:r>
    </w:p>
    <w:p w:rsidR="00BF0ABC" w:rsidRPr="00BF0ABC" w:rsidRDefault="00BF0ABC" w:rsidP="00D35F3C">
      <w:pPr>
        <w:jc w:val="both"/>
        <w:rPr>
          <w:rFonts w:cs="Times New Roman"/>
          <w:iCs/>
        </w:rPr>
      </w:pPr>
      <w:r>
        <w:t>Clymo (2004) found that the hydraulic conductivity of peat at Ellergower Moss varied non-linearly from 1 x 10</w:t>
      </w:r>
      <w:r>
        <w:rPr>
          <w:vertAlign w:val="superscript"/>
        </w:rPr>
        <w:t>-5</w:t>
      </w:r>
      <w:r>
        <w:t xml:space="preserve"> cm s</w:t>
      </w:r>
      <w:r>
        <w:rPr>
          <w:vertAlign w:val="superscript"/>
        </w:rPr>
        <w:t>-1</w:t>
      </w:r>
      <w:r>
        <w:t xml:space="preserve"> at a depth of 10 cm below the surface, to 0.1 x 10</w:t>
      </w:r>
      <w:r>
        <w:rPr>
          <w:vertAlign w:val="superscript"/>
        </w:rPr>
        <w:t>-5</w:t>
      </w:r>
      <w:r>
        <w:t xml:space="preserve"> cm s</w:t>
      </w:r>
      <w:r>
        <w:rPr>
          <w:vertAlign w:val="superscript"/>
        </w:rPr>
        <w:t>-1</w:t>
      </w:r>
      <w:r>
        <w:t xml:space="preserve"> at a depth of 600 cm below the surface. Le</w:t>
      </w:r>
      <w:r w:rsidRPr="00BF0ABC">
        <w:t>tts et al., (2000) carried out a literature review for the Canadian Land Surface Scheme (CLASS) and found that</w:t>
      </w:r>
      <w:r w:rsidRPr="00BF0ABC">
        <w:rPr>
          <w:rFonts w:cs="Times New Roman"/>
          <w:iCs/>
        </w:rPr>
        <w:t xml:space="preserve"> saturated hydraulic conductivity varies from a median of 1.0 </w:t>
      </w:r>
      <w:r w:rsidRPr="00BF0ABC">
        <w:rPr>
          <w:rFonts w:cs="Times New Roman"/>
        </w:rPr>
        <w:t xml:space="preserve">× </w:t>
      </w:r>
      <w:r w:rsidRPr="00BF0ABC">
        <w:rPr>
          <w:rFonts w:cs="Times New Roman"/>
          <w:iCs/>
        </w:rPr>
        <w:t>10</w:t>
      </w:r>
      <w:r w:rsidRPr="00B53BC3">
        <w:rPr>
          <w:rFonts w:cs="Times New Roman"/>
          <w:iCs/>
          <w:vertAlign w:val="superscript"/>
        </w:rPr>
        <w:t>–7</w:t>
      </w:r>
      <w:r w:rsidR="00B53BC3">
        <w:rPr>
          <w:rFonts w:cs="Times New Roman"/>
          <w:iCs/>
        </w:rPr>
        <w:t xml:space="preserve"> m </w:t>
      </w:r>
      <w:r w:rsidRPr="00BF0ABC">
        <w:rPr>
          <w:rFonts w:cs="Times New Roman"/>
          <w:iCs/>
        </w:rPr>
        <w:t>s</w:t>
      </w:r>
      <w:r w:rsidR="00B53BC3">
        <w:rPr>
          <w:rFonts w:cs="Times New Roman"/>
          <w:iCs/>
          <w:vertAlign w:val="superscript"/>
        </w:rPr>
        <w:t>-1</w:t>
      </w:r>
      <w:r w:rsidRPr="00BF0ABC">
        <w:rPr>
          <w:rFonts w:cs="Times New Roman"/>
          <w:iCs/>
        </w:rPr>
        <w:t xml:space="preserve"> in deeply humified sapric peat to 2.8 </w:t>
      </w:r>
      <w:r w:rsidRPr="00BF0ABC">
        <w:rPr>
          <w:rFonts w:cs="Times New Roman"/>
        </w:rPr>
        <w:t xml:space="preserve">× </w:t>
      </w:r>
      <w:r w:rsidRPr="00BF0ABC">
        <w:rPr>
          <w:rFonts w:cs="Times New Roman"/>
          <w:iCs/>
        </w:rPr>
        <w:t>10</w:t>
      </w:r>
      <w:r w:rsidRPr="00B53BC3">
        <w:rPr>
          <w:rFonts w:cs="Times New Roman"/>
          <w:iCs/>
          <w:vertAlign w:val="superscript"/>
        </w:rPr>
        <w:t>–4</w:t>
      </w:r>
      <w:r w:rsidR="00B53BC3">
        <w:rPr>
          <w:rFonts w:cs="Times New Roman"/>
          <w:iCs/>
        </w:rPr>
        <w:t xml:space="preserve"> m </w:t>
      </w:r>
      <w:r w:rsidRPr="00BF0ABC">
        <w:rPr>
          <w:rFonts w:cs="Times New Roman"/>
          <w:iCs/>
        </w:rPr>
        <w:t>s</w:t>
      </w:r>
      <w:r w:rsidR="00B53BC3">
        <w:rPr>
          <w:rFonts w:cs="Times New Roman"/>
          <w:iCs/>
          <w:vertAlign w:val="superscript"/>
        </w:rPr>
        <w:t>-1</w:t>
      </w:r>
      <w:r w:rsidRPr="00BF0ABC">
        <w:rPr>
          <w:rFonts w:cs="Times New Roman"/>
          <w:iCs/>
        </w:rPr>
        <w:t xml:space="preserve"> in relatively undecomposed fibric peat. </w:t>
      </w:r>
    </w:p>
    <w:p w:rsidR="004C6643" w:rsidRPr="006720E7" w:rsidRDefault="00815890" w:rsidP="004C6643">
      <w:pPr>
        <w:jc w:val="both"/>
      </w:pPr>
      <w:r>
        <w:t xml:space="preserve">The wide range of permeabilities has a direct influence on the extent of influence of surface drains. </w:t>
      </w:r>
      <w:r w:rsidR="004C6643" w:rsidRPr="00244C0C">
        <w:t>Boelter (1972)</w:t>
      </w:r>
      <w:r w:rsidR="004C6643" w:rsidRPr="006720E7">
        <w:t xml:space="preserve"> </w:t>
      </w:r>
      <w:r>
        <w:t>found that the</w:t>
      </w:r>
      <w:r w:rsidR="004C6643" w:rsidRPr="006720E7">
        <w:t xml:space="preserve"> flow of groundwater towards a drain was highly dependent on the nature of the peat and on the layer structure of the peat. Once the water table was drawn down into moderately well¬humified (hemic or mesic) peat, the low permeability meant that the zone of influence of the ditch did not extend beyond 5 m. In less humified (fibric) peat, the hydraulic gradient towards the drain extended 50 m.</w:t>
      </w:r>
      <w:r>
        <w:t xml:space="preserve"> </w:t>
      </w:r>
      <w:r w:rsidR="004C6643" w:rsidRPr="006720E7">
        <w:t>Similar conclusions were reached by Burke (1961), who investigated the effects of drains on blanket peat in Glenamoy, western Ireland. In this gelatinous low permeability peat, regardless of drain spacing, the fall in groundwater level brought about by the drains was confined to a strip about 6 feet wide.</w:t>
      </w:r>
    </w:p>
    <w:p w:rsidR="00815890" w:rsidRPr="00815890" w:rsidRDefault="00815890" w:rsidP="002D73C2">
      <w:pPr>
        <w:jc w:val="both"/>
      </w:pPr>
      <w:r>
        <w:t xml:space="preserve">Acreman </w:t>
      </w:r>
      <w:r>
        <w:rPr>
          <w:i/>
        </w:rPr>
        <w:t>et al.,</w:t>
      </w:r>
      <w:r>
        <w:t xml:space="preserve"> (2002) carried out analysis of water table data from Tadham Moor and concluded </w:t>
      </w:r>
      <w:r w:rsidRPr="00B01193">
        <w:t>that dipwells up to 8 m from the ditch are influenced by the presence of the ditch, but at locations further away ditch water levels have no impact on water table elevation. Hence in winter the water table is highest towards the middle of the field and lowest at the edges because of drainage to the ditch. In summer there is a gradual transition to higher water table at the field edge (i.e. close to the drain) and slightly lower water table in the middle of the field. At this time the ditches act as a source of water maintaining near edge water-levels. The water table response of fields is largely governed by rainfall and evaporation.</w:t>
      </w:r>
    </w:p>
    <w:p w:rsidR="004C6643" w:rsidRDefault="00702E03" w:rsidP="004C6643">
      <w:pPr>
        <w:jc w:val="both"/>
      </w:pPr>
      <w:r>
        <w:t>Gilman (1994</w:t>
      </w:r>
      <w:r w:rsidR="00815890">
        <w:t xml:space="preserve">) </w:t>
      </w:r>
      <w:r w:rsidR="00BF0ABC">
        <w:t>monitored and modelled water table fluctuations</w:t>
      </w:r>
      <w:r w:rsidR="00815890">
        <w:t xml:space="preserve"> at West Sedgemoor and found that in May 1987, although </w:t>
      </w:r>
      <w:r w:rsidR="004C6643" w:rsidRPr="006720E7">
        <w:t>rhyne level</w:t>
      </w:r>
      <w:r w:rsidR="00815890">
        <w:t>s were maintained high, there was</w:t>
      </w:r>
      <w:r w:rsidR="004C6643" w:rsidRPr="006720E7">
        <w:t xml:space="preserve"> a tendency for the water table in the centre of the field to lag behind the area closer to the rhyne in its decline. </w:t>
      </w:r>
      <w:r w:rsidR="00D35F3C">
        <w:t>A</w:t>
      </w:r>
      <w:r w:rsidR="004C6643" w:rsidRPr="006720E7">
        <w:t xml:space="preserve"> strip about 30 m wide </w:t>
      </w:r>
      <w:r w:rsidR="00D35F3C">
        <w:t xml:space="preserve">running along the rhyne </w:t>
      </w:r>
      <w:r w:rsidR="004C6643" w:rsidRPr="006720E7">
        <w:t>drie</w:t>
      </w:r>
      <w:r w:rsidR="00D35F3C">
        <w:t>d</w:t>
      </w:r>
      <w:r w:rsidR="004C6643" w:rsidRPr="006720E7">
        <w:t xml:space="preserve"> out more rapidly than the rest, although very close to the rhyne water tables remain high</w:t>
      </w:r>
      <w:r w:rsidR="00A12490">
        <w:t xml:space="preserve"> (Figure 10</w:t>
      </w:r>
      <w:r w:rsidR="00D35F3C">
        <w:t>)</w:t>
      </w:r>
      <w:r w:rsidR="004C6643" w:rsidRPr="006720E7">
        <w:t>. Sutherland &amp;Nicolson (1986) quote a Somerset Levels farmer:</w:t>
      </w:r>
      <w:r w:rsidR="00D35F3C">
        <w:t xml:space="preserve"> </w:t>
      </w:r>
      <w:r w:rsidR="004C6643" w:rsidRPr="006720E7">
        <w:t>"You've got to get the water table down roughly two foot so you can actually work it. If you get less, that means the middle of the field is a day late getting dried out, after rain or whatever, than the edge. So ... you'll find you're taking smashing silage cuts off most of the field but in the middle you begin to get bogged because you haven't waited for the extra day."</w:t>
      </w:r>
    </w:p>
    <w:p w:rsidR="00D35F3C" w:rsidRPr="006720E7" w:rsidRDefault="00D35F3C" w:rsidP="00D35F3C">
      <w:pPr>
        <w:jc w:val="both"/>
      </w:pPr>
      <w:r w:rsidRPr="006720E7">
        <w:rPr>
          <w:noProof/>
        </w:rPr>
        <w:lastRenderedPageBreak/>
        <w:drawing>
          <wp:inline distT="0" distB="0" distL="0" distR="0">
            <wp:extent cx="3771900" cy="2552700"/>
            <wp:effectExtent l="19050" t="0" r="0" b="0"/>
            <wp:docPr id="9" name="Picture 1" descr="W:\hew\Projects\Somerset Levels and Moors\Moors ditch storage 2014\Work Files\Literature Review\References\Gilman Figure 43 West Sedgemoor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w\Projects\Somerset Levels and Moors\Moors ditch storage 2014\Work Files\Literature Review\References\Gilman Figure 43 West Sedgemoor_cropped.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771900" cy="2552700"/>
                    </a:xfrm>
                    <a:prstGeom prst="rect">
                      <a:avLst/>
                    </a:prstGeom>
                    <a:noFill/>
                    <a:ln w="9525">
                      <a:noFill/>
                      <a:miter lim="800000"/>
                      <a:headEnd/>
                      <a:tailEnd/>
                    </a:ln>
                  </pic:spPr>
                </pic:pic>
              </a:graphicData>
            </a:graphic>
          </wp:inline>
        </w:drawing>
      </w:r>
    </w:p>
    <w:p w:rsidR="00D35F3C" w:rsidRPr="008B3D1B" w:rsidRDefault="00D35F3C" w:rsidP="00D35F3C">
      <w:pPr>
        <w:jc w:val="both"/>
        <w:rPr>
          <w:i/>
        </w:rPr>
      </w:pPr>
      <w:r w:rsidRPr="006720E7">
        <w:t xml:space="preserve">Figure </w:t>
      </w:r>
      <w:r w:rsidR="00251534">
        <w:fldChar w:fldCharType="begin"/>
      </w:r>
      <w:r w:rsidR="00403975">
        <w:instrText xml:space="preserve"> SEQ Figure \* ARABIC </w:instrText>
      </w:r>
      <w:r w:rsidR="00251534">
        <w:fldChar w:fldCharType="separate"/>
      </w:r>
      <w:r w:rsidR="000E193B">
        <w:rPr>
          <w:noProof/>
        </w:rPr>
        <w:t>10</w:t>
      </w:r>
      <w:r w:rsidR="00251534">
        <w:rPr>
          <w:noProof/>
        </w:rPr>
        <w:fldChar w:fldCharType="end"/>
      </w:r>
      <w:r w:rsidR="00F54328">
        <w:rPr>
          <w:noProof/>
        </w:rPr>
        <w:t>.</w:t>
      </w:r>
      <w:r w:rsidRPr="006720E7">
        <w:t xml:space="preserve"> The rhynes of West Sedgemoor, with their lateral drains, form a reticular pattern which divides the Moor into rectangular fields. Results from transect T1, consisting of dipwells at 2, 12, 22, 32 and 52 m from a principal rhyne, the New Cut, show that the groundwater levels in the field are independent of the rhyne water level, except in a strip about 30 m wide. The data shown in the figure are for the summer of 1987. </w:t>
      </w:r>
      <w:r w:rsidR="008B3D1B">
        <w:rPr>
          <w:i/>
        </w:rPr>
        <w:t xml:space="preserve">From Gilman, 1994. </w:t>
      </w:r>
    </w:p>
    <w:p w:rsidR="00AD1249" w:rsidRDefault="00AD1249" w:rsidP="00D64F71">
      <w:pPr>
        <w:jc w:val="both"/>
      </w:pPr>
      <w:r>
        <w:t>Baird and Gaffney (2000) measured the rate of bromide solute movement through peat at Catcott Heath. They found that solute breakthrough was more rapid than expected from existing hydraulic conductivity data</w:t>
      </w:r>
      <w:r w:rsidR="0009514D">
        <w:t>. The mean of hydraulic conductivity of 9 auger hole tests was 3.2 m d</w:t>
      </w:r>
      <w:r w:rsidR="0009514D">
        <w:rPr>
          <w:vertAlign w:val="superscript"/>
        </w:rPr>
        <w:t>-1</w:t>
      </w:r>
      <w:r w:rsidR="0009514D">
        <w:t xml:space="preserve"> and the range was 0.5 m d</w:t>
      </w:r>
      <w:r w:rsidR="0009514D">
        <w:rPr>
          <w:vertAlign w:val="superscript"/>
        </w:rPr>
        <w:t>-1</w:t>
      </w:r>
      <w:r w:rsidR="0009514D">
        <w:t xml:space="preserve"> to 5.5 m d</w:t>
      </w:r>
      <w:r w:rsidR="0009514D">
        <w:rPr>
          <w:vertAlign w:val="superscript"/>
        </w:rPr>
        <w:t>-1</w:t>
      </w:r>
      <w:r>
        <w:t xml:space="preserve">. There was clear evidence of the heterogeneity of conditions, reflected in the K values. In addition, double and treble peaks in concentration suggested that there are in places multiple porosity systems within the peat. They conclude that the existing understanding of buffer zones in the Somerset Moors may be too small and that further investigation is required. The relevance of this to the present study is that it may be misleading to apply a single value of ‘active field width’ across all sites. </w:t>
      </w:r>
    </w:p>
    <w:p w:rsidR="005C7861" w:rsidRPr="006720E7" w:rsidRDefault="00D35F3C" w:rsidP="006720E7">
      <w:pPr>
        <w:jc w:val="both"/>
      </w:pPr>
      <w:r>
        <w:t xml:space="preserve">Bromley </w:t>
      </w:r>
      <w:r>
        <w:rPr>
          <w:i/>
        </w:rPr>
        <w:t>et al</w:t>
      </w:r>
      <w:r>
        <w:t xml:space="preserve">. (2004) carried out an investigation at Thorne Moor into the effect of scale on hydraulic conductivity taking both lab measurements of soil cores, and field </w:t>
      </w:r>
      <w:r w:rsidRPr="00946AB5">
        <w:t xml:space="preserve">measurements at a point scale, and using ditches of lengths 10 m and 400 m. This gave a comparison of sample volumes ranging from </w:t>
      </w:r>
      <w:r w:rsidRPr="00946AB5">
        <w:rPr>
          <w:rFonts w:cs="Times-Roman"/>
        </w:rPr>
        <w:t>0</w:t>
      </w:r>
      <w:r w:rsidRPr="00946AB5">
        <w:rPr>
          <w:rFonts w:cs="MTSY"/>
        </w:rPr>
        <w:t>.</w:t>
      </w:r>
      <w:r w:rsidRPr="00946AB5">
        <w:rPr>
          <w:rFonts w:cs="Times-Roman"/>
        </w:rPr>
        <w:t>002 m</w:t>
      </w:r>
      <w:r>
        <w:rPr>
          <w:rFonts w:cs="Times-Roman"/>
          <w:vertAlign w:val="superscript"/>
        </w:rPr>
        <w:t>3</w:t>
      </w:r>
      <w:r w:rsidRPr="00946AB5">
        <w:rPr>
          <w:rFonts w:cs="Times-Roman"/>
        </w:rPr>
        <w:t xml:space="preserve"> to around. 360 m</w:t>
      </w:r>
      <w:r>
        <w:rPr>
          <w:rFonts w:cs="Times-Roman"/>
          <w:vertAlign w:val="superscript"/>
        </w:rPr>
        <w:t>3</w:t>
      </w:r>
      <w:r w:rsidRPr="00946AB5">
        <w:rPr>
          <w:rFonts w:cs="Times-Roman"/>
        </w:rPr>
        <w:t>.</w:t>
      </w:r>
      <w:r w:rsidRPr="00946AB5">
        <w:t xml:space="preserve"> </w:t>
      </w:r>
      <w:r>
        <w:t>They found that measurements of hydraulic conductivity varied from 2.4 x 10</w:t>
      </w:r>
      <w:r>
        <w:rPr>
          <w:vertAlign w:val="superscript"/>
        </w:rPr>
        <w:t>-6</w:t>
      </w:r>
      <w:r>
        <w:t xml:space="preserve"> m/s in the lab to 4 x 10</w:t>
      </w:r>
      <w:r>
        <w:rPr>
          <w:vertAlign w:val="superscript"/>
        </w:rPr>
        <w:t>-4</w:t>
      </w:r>
      <w:r>
        <w:t xml:space="preserve"> m/s for the 400 m ditch length. </w:t>
      </w:r>
    </w:p>
    <w:p w:rsidR="00B4335D" w:rsidRPr="009F5D32" w:rsidRDefault="009F5D32" w:rsidP="009F5D32">
      <w:pPr>
        <w:jc w:val="both"/>
        <w:rPr>
          <w:b/>
        </w:rPr>
      </w:pPr>
      <w:r>
        <w:t>Gilman (1994</w:t>
      </w:r>
      <w:r w:rsidR="00B6053F">
        <w:t xml:space="preserve">) </w:t>
      </w:r>
      <w:r w:rsidR="000E2309">
        <w:t xml:space="preserve">incorporated </w:t>
      </w:r>
      <w:r w:rsidR="008D161D" w:rsidRPr="006720E7">
        <w:t xml:space="preserve">variation of permeability with vertical position, and specific yield with water </w:t>
      </w:r>
      <w:r w:rsidR="000E2309">
        <w:t xml:space="preserve">table elevation </w:t>
      </w:r>
      <w:r w:rsidR="008D161D" w:rsidRPr="006720E7">
        <w:t xml:space="preserve">into </w:t>
      </w:r>
      <w:r w:rsidR="000E2309">
        <w:t>a digital model</w:t>
      </w:r>
      <w:r w:rsidR="008D161D" w:rsidRPr="006720E7">
        <w:t xml:space="preserve"> for West Sedgemoor</w:t>
      </w:r>
      <w:r w:rsidR="000E2309">
        <w:t xml:space="preserve"> and </w:t>
      </w:r>
      <w:r w:rsidR="008D161D" w:rsidRPr="006720E7">
        <w:t xml:space="preserve">found </w:t>
      </w:r>
      <w:r w:rsidR="000E2309">
        <w:t xml:space="preserve">it was </w:t>
      </w:r>
      <w:r w:rsidR="008D161D" w:rsidRPr="006720E7">
        <w:t xml:space="preserve">necessary to have both parameters varying exponentially with depth below the surface. </w:t>
      </w:r>
      <w:r w:rsidR="007A7B88">
        <w:t>T</w:t>
      </w:r>
      <w:r w:rsidR="008D161D" w:rsidRPr="006720E7">
        <w:t xml:space="preserve">he attenuation of the effects of </w:t>
      </w:r>
      <w:r w:rsidR="007A7B88">
        <w:t>ditch</w:t>
      </w:r>
      <w:r w:rsidR="008D161D" w:rsidRPr="006720E7">
        <w:t xml:space="preserve"> levels with distance was p</w:t>
      </w:r>
      <w:r w:rsidR="000E2309">
        <w:t>articularly rapid</w:t>
      </w:r>
      <w:r w:rsidR="008D161D" w:rsidRPr="006720E7">
        <w:t>, and</w:t>
      </w:r>
      <w:r w:rsidR="007A7B88">
        <w:t xml:space="preserve"> in order to simulate this</w:t>
      </w:r>
      <w:r w:rsidR="008D161D" w:rsidRPr="006720E7">
        <w:t xml:space="preserve"> a zone of much reduced permeability</w:t>
      </w:r>
      <w:r w:rsidR="007A7B88">
        <w:t xml:space="preserve"> was introduced</w:t>
      </w:r>
      <w:r w:rsidR="008D161D" w:rsidRPr="006720E7">
        <w:t xml:space="preserve"> immediately adjacent to the rhyne. </w:t>
      </w:r>
      <w:r w:rsidR="000E2309">
        <w:t xml:space="preserve">Three possible reasons were given for this apparent reduction in </w:t>
      </w:r>
      <w:r w:rsidR="008D161D" w:rsidRPr="006720E7">
        <w:t>permeability: the shallow depth of the ditch compared with the full depth of the peat, sealing of the bed and banks of the rhyne or compaction of the peat near to the rhyne by heavy equipment used in the management of the ditches.</w:t>
      </w:r>
    </w:p>
    <w:p w:rsidR="00B4335D" w:rsidRPr="00B4335D" w:rsidRDefault="0087644D" w:rsidP="00B4335D">
      <w:pPr>
        <w:pStyle w:val="Heading2"/>
        <w:numPr>
          <w:ilvl w:val="0"/>
          <w:numId w:val="16"/>
        </w:numPr>
      </w:pPr>
      <w:bookmarkStart w:id="12" w:name="_Toc402956179"/>
      <w:r w:rsidRPr="00B4335D">
        <w:lastRenderedPageBreak/>
        <w:t>The movement of water into and out of the soil body: the values to use in this study</w:t>
      </w:r>
      <w:bookmarkEnd w:id="12"/>
    </w:p>
    <w:p w:rsidR="0087644D" w:rsidRDefault="0087644D" w:rsidP="0087644D">
      <w:pPr>
        <w:autoSpaceDE w:val="0"/>
        <w:autoSpaceDN w:val="0"/>
        <w:adjustRightInd w:val="0"/>
        <w:spacing w:after="0" w:line="240" w:lineRule="auto"/>
        <w:jc w:val="both"/>
      </w:pPr>
      <w:r>
        <w:t xml:space="preserve">This review of literature values forms the basis for the estimate of </w:t>
      </w:r>
      <w:r w:rsidR="008B3D1B">
        <w:t xml:space="preserve">the likely distance of influence of ditch water levels into the field and the </w:t>
      </w:r>
      <w:r>
        <w:t xml:space="preserve">hydraulic conductivity to be used in this study. There is </w:t>
      </w:r>
      <w:r w:rsidR="0017293C">
        <w:t xml:space="preserve">considerable variability depending on sample method and </w:t>
      </w:r>
      <w:r>
        <w:t xml:space="preserve">spatial heterogeneity in </w:t>
      </w:r>
      <w:r w:rsidR="0017293C">
        <w:t xml:space="preserve">soil properties. As with specific yield, it is very unlikely that </w:t>
      </w:r>
      <w:r>
        <w:t>sufficiently detailed spatial information exists to be able to account for this. Th</w:t>
      </w:r>
      <w:r w:rsidR="00B53BC3">
        <w:t>e proposed solution is therefore</w:t>
      </w:r>
      <w:r>
        <w:t xml:space="preserve"> to calculate a mean value and also a</w:t>
      </w:r>
      <w:r w:rsidR="0017293C">
        <w:t xml:space="preserve"> likely range of values. Table</w:t>
      </w:r>
      <w:r w:rsidR="008B3D1B">
        <w:t xml:space="preserve">s </w:t>
      </w:r>
      <w:r w:rsidR="009F5D32">
        <w:t>10</w:t>
      </w:r>
      <w:r w:rsidR="008B3D1B">
        <w:t xml:space="preserve"> show</w:t>
      </w:r>
      <w:r w:rsidR="009F5D32">
        <w:t>s</w:t>
      </w:r>
      <w:r>
        <w:t xml:space="preserve"> the summary of values relating to the study area. </w:t>
      </w:r>
    </w:p>
    <w:p w:rsidR="0087644D" w:rsidRPr="00677FF3" w:rsidRDefault="0087644D" w:rsidP="0087644D">
      <w:pPr>
        <w:autoSpaceDE w:val="0"/>
        <w:autoSpaceDN w:val="0"/>
        <w:adjustRightInd w:val="0"/>
        <w:spacing w:after="0" w:line="240" w:lineRule="auto"/>
        <w:jc w:val="both"/>
      </w:pPr>
    </w:p>
    <w:p w:rsidR="00677FF3" w:rsidRPr="00677FF3" w:rsidRDefault="00677FF3" w:rsidP="00677FF3">
      <w:pPr>
        <w:pStyle w:val="Caption"/>
        <w:keepNext/>
        <w:rPr>
          <w:b w:val="0"/>
          <w:color w:val="auto"/>
          <w:sz w:val="22"/>
          <w:szCs w:val="22"/>
        </w:rPr>
      </w:pPr>
      <w:r w:rsidRPr="00677FF3">
        <w:rPr>
          <w:b w:val="0"/>
          <w:color w:val="auto"/>
          <w:sz w:val="22"/>
          <w:szCs w:val="22"/>
        </w:rPr>
        <w:t xml:space="preserve">Table </w:t>
      </w:r>
      <w:r w:rsidR="00251534" w:rsidRPr="00677FF3">
        <w:rPr>
          <w:b w:val="0"/>
          <w:color w:val="auto"/>
          <w:sz w:val="22"/>
          <w:szCs w:val="22"/>
        </w:rPr>
        <w:fldChar w:fldCharType="begin"/>
      </w:r>
      <w:r w:rsidRPr="00677FF3">
        <w:rPr>
          <w:b w:val="0"/>
          <w:color w:val="auto"/>
          <w:sz w:val="22"/>
          <w:szCs w:val="22"/>
        </w:rPr>
        <w:instrText xml:space="preserve"> SEQ Table \* ARABIC </w:instrText>
      </w:r>
      <w:r w:rsidR="00251534" w:rsidRPr="00677FF3">
        <w:rPr>
          <w:b w:val="0"/>
          <w:color w:val="auto"/>
          <w:sz w:val="22"/>
          <w:szCs w:val="22"/>
        </w:rPr>
        <w:fldChar w:fldCharType="separate"/>
      </w:r>
      <w:r w:rsidR="000E193B">
        <w:rPr>
          <w:b w:val="0"/>
          <w:noProof/>
          <w:color w:val="auto"/>
          <w:sz w:val="22"/>
          <w:szCs w:val="22"/>
        </w:rPr>
        <w:t>10</w:t>
      </w:r>
      <w:r w:rsidR="00251534" w:rsidRPr="00677FF3">
        <w:rPr>
          <w:b w:val="0"/>
          <w:color w:val="auto"/>
          <w:sz w:val="22"/>
          <w:szCs w:val="22"/>
        </w:rPr>
        <w:fldChar w:fldCharType="end"/>
      </w:r>
      <w:r w:rsidR="00F54328">
        <w:rPr>
          <w:b w:val="0"/>
          <w:color w:val="auto"/>
          <w:sz w:val="22"/>
          <w:szCs w:val="22"/>
        </w:rPr>
        <w:t>.</w:t>
      </w:r>
      <w:r w:rsidRPr="00677FF3">
        <w:rPr>
          <w:b w:val="0"/>
          <w:color w:val="auto"/>
          <w:sz w:val="22"/>
          <w:szCs w:val="22"/>
        </w:rPr>
        <w:t xml:space="preserve"> Summary of distance of influence and hydraulic conductivity</w:t>
      </w:r>
      <w:r>
        <w:rPr>
          <w:b w:val="0"/>
          <w:color w:val="auto"/>
          <w:sz w:val="22"/>
          <w:szCs w:val="22"/>
        </w:rPr>
        <w:t xml:space="preserve"> relevant to the study area. </w:t>
      </w:r>
    </w:p>
    <w:tbl>
      <w:tblPr>
        <w:tblStyle w:val="TableGrid"/>
        <w:tblW w:w="5000" w:type="pct"/>
        <w:tblLook w:val="04A0" w:firstRow="1" w:lastRow="0" w:firstColumn="1" w:lastColumn="0" w:noHBand="0" w:noVBand="1"/>
      </w:tblPr>
      <w:tblGrid>
        <w:gridCol w:w="2235"/>
        <w:gridCol w:w="1843"/>
        <w:gridCol w:w="2970"/>
        <w:gridCol w:w="2194"/>
      </w:tblGrid>
      <w:tr w:rsidR="00244C0C" w:rsidTr="00244C0C">
        <w:tc>
          <w:tcPr>
            <w:tcW w:w="1209" w:type="pct"/>
          </w:tcPr>
          <w:p w:rsidR="00244C0C" w:rsidRDefault="00244C0C" w:rsidP="0087644D">
            <w:pPr>
              <w:autoSpaceDE w:val="0"/>
              <w:autoSpaceDN w:val="0"/>
              <w:adjustRightInd w:val="0"/>
              <w:jc w:val="both"/>
            </w:pPr>
            <w:r>
              <w:t>Reference</w:t>
            </w:r>
          </w:p>
        </w:tc>
        <w:tc>
          <w:tcPr>
            <w:tcW w:w="997" w:type="pct"/>
          </w:tcPr>
          <w:p w:rsidR="00244C0C" w:rsidRDefault="00244C0C" w:rsidP="0087644D">
            <w:pPr>
              <w:autoSpaceDE w:val="0"/>
              <w:autoSpaceDN w:val="0"/>
              <w:adjustRightInd w:val="0"/>
              <w:jc w:val="both"/>
            </w:pPr>
            <w:r>
              <w:t>Study area</w:t>
            </w:r>
          </w:p>
        </w:tc>
        <w:tc>
          <w:tcPr>
            <w:tcW w:w="1607" w:type="pct"/>
          </w:tcPr>
          <w:p w:rsidR="00244C0C" w:rsidRDefault="00244C0C" w:rsidP="0087644D">
            <w:pPr>
              <w:autoSpaceDE w:val="0"/>
              <w:autoSpaceDN w:val="0"/>
              <w:adjustRightInd w:val="0"/>
              <w:jc w:val="both"/>
            </w:pPr>
            <w:r>
              <w:t>Distance of influence of ditch (m_</w:t>
            </w:r>
          </w:p>
        </w:tc>
        <w:tc>
          <w:tcPr>
            <w:tcW w:w="1187" w:type="pct"/>
          </w:tcPr>
          <w:p w:rsidR="00244C0C" w:rsidRDefault="00244C0C" w:rsidP="0087644D">
            <w:pPr>
              <w:autoSpaceDE w:val="0"/>
              <w:autoSpaceDN w:val="0"/>
              <w:adjustRightInd w:val="0"/>
              <w:jc w:val="both"/>
            </w:pPr>
            <w:r>
              <w:t>Comment</w:t>
            </w:r>
          </w:p>
        </w:tc>
      </w:tr>
      <w:tr w:rsidR="00244C0C" w:rsidTr="00244C0C">
        <w:tc>
          <w:tcPr>
            <w:tcW w:w="1209" w:type="pct"/>
          </w:tcPr>
          <w:p w:rsidR="00244C0C" w:rsidRDefault="00244C0C" w:rsidP="0087644D">
            <w:pPr>
              <w:autoSpaceDE w:val="0"/>
              <w:autoSpaceDN w:val="0"/>
              <w:adjustRightInd w:val="0"/>
              <w:jc w:val="both"/>
            </w:pPr>
            <w:r>
              <w:t xml:space="preserve">Acreman </w:t>
            </w:r>
            <w:r>
              <w:rPr>
                <w:i/>
              </w:rPr>
              <w:t>et al.,</w:t>
            </w:r>
            <w:r>
              <w:t xml:space="preserve"> (2002)</w:t>
            </w:r>
          </w:p>
        </w:tc>
        <w:tc>
          <w:tcPr>
            <w:tcW w:w="997" w:type="pct"/>
          </w:tcPr>
          <w:p w:rsidR="00244C0C" w:rsidRDefault="00244C0C" w:rsidP="0087644D">
            <w:pPr>
              <w:autoSpaceDE w:val="0"/>
              <w:autoSpaceDN w:val="0"/>
              <w:adjustRightInd w:val="0"/>
              <w:jc w:val="both"/>
            </w:pPr>
            <w:r>
              <w:t>Tadham Moor</w:t>
            </w:r>
          </w:p>
        </w:tc>
        <w:tc>
          <w:tcPr>
            <w:tcW w:w="1607" w:type="pct"/>
          </w:tcPr>
          <w:p w:rsidR="00244C0C" w:rsidRDefault="00244C0C" w:rsidP="0087644D">
            <w:pPr>
              <w:autoSpaceDE w:val="0"/>
              <w:autoSpaceDN w:val="0"/>
              <w:adjustRightInd w:val="0"/>
              <w:jc w:val="both"/>
            </w:pPr>
            <w:r>
              <w:t>8 m</w:t>
            </w:r>
          </w:p>
        </w:tc>
        <w:tc>
          <w:tcPr>
            <w:tcW w:w="1187" w:type="pct"/>
          </w:tcPr>
          <w:p w:rsidR="00244C0C" w:rsidRDefault="00244C0C" w:rsidP="0087644D">
            <w:pPr>
              <w:autoSpaceDE w:val="0"/>
              <w:autoSpaceDN w:val="0"/>
              <w:adjustRightInd w:val="0"/>
              <w:jc w:val="both"/>
            </w:pPr>
          </w:p>
        </w:tc>
      </w:tr>
      <w:tr w:rsidR="00244C0C" w:rsidTr="00244C0C">
        <w:tc>
          <w:tcPr>
            <w:tcW w:w="1209" w:type="pct"/>
          </w:tcPr>
          <w:p w:rsidR="00244C0C" w:rsidRDefault="00244C0C" w:rsidP="0087644D">
            <w:pPr>
              <w:autoSpaceDE w:val="0"/>
              <w:autoSpaceDN w:val="0"/>
              <w:adjustRightInd w:val="0"/>
              <w:jc w:val="both"/>
            </w:pPr>
            <w:r>
              <w:t>Boelter, (1972)</w:t>
            </w:r>
          </w:p>
        </w:tc>
        <w:tc>
          <w:tcPr>
            <w:tcW w:w="997" w:type="pct"/>
          </w:tcPr>
          <w:p w:rsidR="00244C0C" w:rsidRDefault="00244C0C" w:rsidP="0087644D">
            <w:pPr>
              <w:autoSpaceDE w:val="0"/>
              <w:autoSpaceDN w:val="0"/>
              <w:adjustRightInd w:val="0"/>
              <w:jc w:val="both"/>
            </w:pPr>
            <w:r>
              <w:t>?</w:t>
            </w:r>
          </w:p>
        </w:tc>
        <w:tc>
          <w:tcPr>
            <w:tcW w:w="1607" w:type="pct"/>
          </w:tcPr>
          <w:p w:rsidR="00244C0C" w:rsidRDefault="00244C0C" w:rsidP="0087644D">
            <w:pPr>
              <w:autoSpaceDE w:val="0"/>
              <w:autoSpaceDN w:val="0"/>
              <w:adjustRightInd w:val="0"/>
              <w:jc w:val="both"/>
            </w:pPr>
            <w:r>
              <w:t>5 m</w:t>
            </w:r>
          </w:p>
        </w:tc>
        <w:tc>
          <w:tcPr>
            <w:tcW w:w="1187" w:type="pct"/>
          </w:tcPr>
          <w:p w:rsidR="00244C0C" w:rsidRDefault="00244C0C" w:rsidP="0087644D">
            <w:pPr>
              <w:autoSpaceDE w:val="0"/>
              <w:autoSpaceDN w:val="0"/>
              <w:adjustRightInd w:val="0"/>
              <w:jc w:val="both"/>
            </w:pPr>
            <w:r>
              <w:t>Well-humified peat</w:t>
            </w:r>
          </w:p>
        </w:tc>
      </w:tr>
      <w:tr w:rsidR="00244C0C" w:rsidTr="00244C0C">
        <w:tc>
          <w:tcPr>
            <w:tcW w:w="1209" w:type="pct"/>
          </w:tcPr>
          <w:p w:rsidR="00244C0C" w:rsidRDefault="00244C0C" w:rsidP="0087644D">
            <w:pPr>
              <w:autoSpaceDE w:val="0"/>
              <w:autoSpaceDN w:val="0"/>
              <w:adjustRightInd w:val="0"/>
              <w:jc w:val="both"/>
            </w:pPr>
            <w:r>
              <w:t>Boelter, (1972)</w:t>
            </w:r>
          </w:p>
        </w:tc>
        <w:tc>
          <w:tcPr>
            <w:tcW w:w="997" w:type="pct"/>
          </w:tcPr>
          <w:p w:rsidR="00244C0C" w:rsidRDefault="00244C0C" w:rsidP="0087644D">
            <w:pPr>
              <w:autoSpaceDE w:val="0"/>
              <w:autoSpaceDN w:val="0"/>
              <w:adjustRightInd w:val="0"/>
              <w:jc w:val="both"/>
            </w:pPr>
            <w:r>
              <w:t>?</w:t>
            </w:r>
          </w:p>
        </w:tc>
        <w:tc>
          <w:tcPr>
            <w:tcW w:w="1607" w:type="pct"/>
          </w:tcPr>
          <w:p w:rsidR="00244C0C" w:rsidRDefault="00244C0C" w:rsidP="0087644D">
            <w:pPr>
              <w:autoSpaceDE w:val="0"/>
              <w:autoSpaceDN w:val="0"/>
              <w:adjustRightInd w:val="0"/>
              <w:jc w:val="both"/>
            </w:pPr>
            <w:r>
              <w:t>50 m</w:t>
            </w:r>
          </w:p>
        </w:tc>
        <w:tc>
          <w:tcPr>
            <w:tcW w:w="1187" w:type="pct"/>
          </w:tcPr>
          <w:p w:rsidR="00244C0C" w:rsidRDefault="00244C0C" w:rsidP="0087644D">
            <w:pPr>
              <w:autoSpaceDE w:val="0"/>
              <w:autoSpaceDN w:val="0"/>
              <w:adjustRightInd w:val="0"/>
              <w:jc w:val="both"/>
            </w:pPr>
            <w:r>
              <w:t>Less humified peat</w:t>
            </w:r>
          </w:p>
        </w:tc>
      </w:tr>
      <w:tr w:rsidR="00244C0C" w:rsidTr="00244C0C">
        <w:tc>
          <w:tcPr>
            <w:tcW w:w="1209" w:type="pct"/>
          </w:tcPr>
          <w:p w:rsidR="00244C0C" w:rsidRDefault="00244C0C" w:rsidP="0087644D">
            <w:pPr>
              <w:autoSpaceDE w:val="0"/>
              <w:autoSpaceDN w:val="0"/>
              <w:adjustRightInd w:val="0"/>
              <w:jc w:val="both"/>
            </w:pPr>
            <w:r>
              <w:t>Burke, (1961)</w:t>
            </w:r>
          </w:p>
        </w:tc>
        <w:tc>
          <w:tcPr>
            <w:tcW w:w="997" w:type="pct"/>
          </w:tcPr>
          <w:p w:rsidR="00244C0C" w:rsidRDefault="00244C0C" w:rsidP="0087644D">
            <w:pPr>
              <w:autoSpaceDE w:val="0"/>
              <w:autoSpaceDN w:val="0"/>
              <w:adjustRightInd w:val="0"/>
              <w:jc w:val="both"/>
            </w:pPr>
            <w:r>
              <w:t>Glenamoy, western Ireland</w:t>
            </w:r>
          </w:p>
        </w:tc>
        <w:tc>
          <w:tcPr>
            <w:tcW w:w="1607" w:type="pct"/>
          </w:tcPr>
          <w:p w:rsidR="00244C0C" w:rsidRDefault="00244C0C" w:rsidP="0087644D">
            <w:pPr>
              <w:autoSpaceDE w:val="0"/>
              <w:autoSpaceDN w:val="0"/>
              <w:adjustRightInd w:val="0"/>
              <w:jc w:val="both"/>
            </w:pPr>
            <w:r>
              <w:t>1.8 m</w:t>
            </w:r>
          </w:p>
        </w:tc>
        <w:tc>
          <w:tcPr>
            <w:tcW w:w="1187" w:type="pct"/>
          </w:tcPr>
          <w:p w:rsidR="00244C0C" w:rsidRDefault="00244C0C" w:rsidP="0087644D">
            <w:pPr>
              <w:autoSpaceDE w:val="0"/>
              <w:autoSpaceDN w:val="0"/>
              <w:adjustRightInd w:val="0"/>
              <w:jc w:val="both"/>
            </w:pPr>
            <w:r>
              <w:t>Blanket peat</w:t>
            </w:r>
          </w:p>
        </w:tc>
      </w:tr>
      <w:tr w:rsidR="00E950FA" w:rsidTr="00E950FA">
        <w:tc>
          <w:tcPr>
            <w:tcW w:w="1209" w:type="pct"/>
          </w:tcPr>
          <w:p w:rsidR="00E950FA" w:rsidRDefault="00E950FA" w:rsidP="0087644D">
            <w:pPr>
              <w:autoSpaceDE w:val="0"/>
              <w:autoSpaceDN w:val="0"/>
              <w:adjustRightInd w:val="0"/>
              <w:jc w:val="both"/>
            </w:pPr>
            <w:r>
              <w:t>Gilman, (2004)</w:t>
            </w:r>
          </w:p>
        </w:tc>
        <w:tc>
          <w:tcPr>
            <w:tcW w:w="997" w:type="pct"/>
          </w:tcPr>
          <w:p w:rsidR="00E950FA" w:rsidRDefault="00E950FA" w:rsidP="0087644D">
            <w:pPr>
              <w:autoSpaceDE w:val="0"/>
              <w:autoSpaceDN w:val="0"/>
              <w:adjustRightInd w:val="0"/>
              <w:jc w:val="both"/>
            </w:pPr>
            <w:r>
              <w:t>West Sedgemoor</w:t>
            </w:r>
          </w:p>
        </w:tc>
        <w:tc>
          <w:tcPr>
            <w:tcW w:w="2794" w:type="pct"/>
            <w:gridSpan w:val="2"/>
          </w:tcPr>
          <w:p w:rsidR="00E950FA" w:rsidRDefault="00E950FA" w:rsidP="0087644D">
            <w:pPr>
              <w:autoSpaceDE w:val="0"/>
              <w:autoSpaceDN w:val="0"/>
              <w:adjustRightInd w:val="0"/>
              <w:jc w:val="both"/>
            </w:pPr>
            <w:r>
              <w:t xml:space="preserve">30 m is stated as the distance affected however in figure 9 it appears that the majority of influence is in the first 10 m. </w:t>
            </w:r>
          </w:p>
        </w:tc>
      </w:tr>
      <w:tr w:rsidR="00343338" w:rsidTr="00343338">
        <w:tc>
          <w:tcPr>
            <w:tcW w:w="5000" w:type="pct"/>
            <w:gridSpan w:val="4"/>
          </w:tcPr>
          <w:p w:rsidR="00343338" w:rsidRPr="000141BD" w:rsidRDefault="00343338" w:rsidP="00343338">
            <w:pPr>
              <w:autoSpaceDE w:val="0"/>
              <w:autoSpaceDN w:val="0"/>
              <w:adjustRightInd w:val="0"/>
              <w:jc w:val="both"/>
              <w:rPr>
                <w:b/>
              </w:rPr>
            </w:pPr>
            <w:r w:rsidRPr="000141BD">
              <w:rPr>
                <w:b/>
              </w:rPr>
              <w:t xml:space="preserve">It is concluded that the most likely value for the study site is between 8 m and 10 m, with a potential minimum of 5 m and maximum of 30 m.   </w:t>
            </w:r>
          </w:p>
        </w:tc>
      </w:tr>
    </w:tbl>
    <w:p w:rsidR="00677FF3" w:rsidRPr="00677FF3" w:rsidRDefault="00677FF3" w:rsidP="00677FF3">
      <w:pPr>
        <w:spacing w:after="0" w:line="240" w:lineRule="auto"/>
      </w:pPr>
    </w:p>
    <w:tbl>
      <w:tblPr>
        <w:tblStyle w:val="TableGrid"/>
        <w:tblW w:w="0" w:type="auto"/>
        <w:tblLook w:val="04A0" w:firstRow="1" w:lastRow="0" w:firstColumn="1" w:lastColumn="0" w:noHBand="0" w:noVBand="1"/>
      </w:tblPr>
      <w:tblGrid>
        <w:gridCol w:w="1639"/>
        <w:gridCol w:w="1593"/>
        <w:gridCol w:w="1643"/>
        <w:gridCol w:w="1536"/>
        <w:gridCol w:w="1302"/>
        <w:gridCol w:w="1529"/>
      </w:tblGrid>
      <w:tr w:rsidR="0087644D" w:rsidTr="0087644D">
        <w:tc>
          <w:tcPr>
            <w:tcW w:w="1639" w:type="dxa"/>
          </w:tcPr>
          <w:p w:rsidR="0087644D" w:rsidRDefault="0087644D" w:rsidP="0087644D">
            <w:pPr>
              <w:autoSpaceDE w:val="0"/>
              <w:autoSpaceDN w:val="0"/>
              <w:adjustRightInd w:val="0"/>
              <w:jc w:val="both"/>
            </w:pPr>
            <w:r>
              <w:t>Reference</w:t>
            </w:r>
          </w:p>
        </w:tc>
        <w:tc>
          <w:tcPr>
            <w:tcW w:w="1593" w:type="dxa"/>
          </w:tcPr>
          <w:p w:rsidR="0087644D" w:rsidRDefault="0087644D" w:rsidP="0087644D">
            <w:pPr>
              <w:autoSpaceDE w:val="0"/>
              <w:autoSpaceDN w:val="0"/>
              <w:adjustRightInd w:val="0"/>
              <w:jc w:val="both"/>
            </w:pPr>
            <w:r>
              <w:t>Study type</w:t>
            </w:r>
          </w:p>
        </w:tc>
        <w:tc>
          <w:tcPr>
            <w:tcW w:w="1643" w:type="dxa"/>
          </w:tcPr>
          <w:p w:rsidR="0087644D" w:rsidRDefault="0087644D" w:rsidP="0087644D">
            <w:pPr>
              <w:autoSpaceDE w:val="0"/>
              <w:autoSpaceDN w:val="0"/>
              <w:adjustRightInd w:val="0"/>
              <w:jc w:val="both"/>
            </w:pPr>
            <w:r>
              <w:t>Study area</w:t>
            </w:r>
          </w:p>
        </w:tc>
        <w:tc>
          <w:tcPr>
            <w:tcW w:w="1536" w:type="dxa"/>
          </w:tcPr>
          <w:p w:rsidR="0087644D" w:rsidRDefault="0087644D" w:rsidP="0087644D">
            <w:pPr>
              <w:autoSpaceDE w:val="0"/>
              <w:autoSpaceDN w:val="0"/>
              <w:adjustRightInd w:val="0"/>
              <w:jc w:val="both"/>
            </w:pPr>
            <w:r>
              <w:t>Depth (m)</w:t>
            </w:r>
          </w:p>
        </w:tc>
        <w:tc>
          <w:tcPr>
            <w:tcW w:w="1302" w:type="dxa"/>
          </w:tcPr>
          <w:p w:rsidR="0087644D" w:rsidRDefault="0087644D" w:rsidP="0087644D">
            <w:pPr>
              <w:autoSpaceDE w:val="0"/>
              <w:autoSpaceDN w:val="0"/>
              <w:adjustRightInd w:val="0"/>
              <w:jc w:val="both"/>
            </w:pPr>
            <w:r>
              <w:t>Soil Type</w:t>
            </w:r>
          </w:p>
        </w:tc>
        <w:tc>
          <w:tcPr>
            <w:tcW w:w="1529" w:type="dxa"/>
          </w:tcPr>
          <w:p w:rsidR="0087644D" w:rsidRDefault="00381650" w:rsidP="0087644D">
            <w:pPr>
              <w:autoSpaceDE w:val="0"/>
              <w:autoSpaceDN w:val="0"/>
              <w:adjustRightInd w:val="0"/>
              <w:jc w:val="both"/>
            </w:pPr>
            <w:r>
              <w:t>Saturated Hydraulic Conductivity</w:t>
            </w:r>
          </w:p>
        </w:tc>
      </w:tr>
      <w:tr w:rsidR="0087644D" w:rsidTr="0087644D">
        <w:tc>
          <w:tcPr>
            <w:tcW w:w="1639" w:type="dxa"/>
          </w:tcPr>
          <w:p w:rsidR="0087644D" w:rsidRDefault="00381650" w:rsidP="0087644D">
            <w:pPr>
              <w:autoSpaceDE w:val="0"/>
              <w:autoSpaceDN w:val="0"/>
              <w:adjustRightInd w:val="0"/>
              <w:jc w:val="both"/>
            </w:pPr>
            <w:r>
              <w:t>Dawson (2006)</w:t>
            </w:r>
          </w:p>
        </w:tc>
        <w:tc>
          <w:tcPr>
            <w:tcW w:w="1593" w:type="dxa"/>
          </w:tcPr>
          <w:p w:rsidR="0087644D" w:rsidRDefault="00381650" w:rsidP="0087644D">
            <w:pPr>
              <w:autoSpaceDE w:val="0"/>
              <w:autoSpaceDN w:val="0"/>
              <w:adjustRightInd w:val="0"/>
              <w:jc w:val="both"/>
            </w:pPr>
            <w:r>
              <w:t>Water table modelling</w:t>
            </w:r>
          </w:p>
        </w:tc>
        <w:tc>
          <w:tcPr>
            <w:tcW w:w="1643" w:type="dxa"/>
          </w:tcPr>
          <w:p w:rsidR="0087644D" w:rsidRDefault="00381650" w:rsidP="0087644D">
            <w:pPr>
              <w:autoSpaceDE w:val="0"/>
              <w:autoSpaceDN w:val="0"/>
              <w:adjustRightInd w:val="0"/>
              <w:jc w:val="both"/>
            </w:pPr>
            <w:r>
              <w:t>West Sedgemoor</w:t>
            </w:r>
          </w:p>
        </w:tc>
        <w:tc>
          <w:tcPr>
            <w:tcW w:w="1536" w:type="dxa"/>
          </w:tcPr>
          <w:p w:rsidR="0087644D" w:rsidRDefault="0087644D" w:rsidP="0087644D">
            <w:pPr>
              <w:autoSpaceDE w:val="0"/>
              <w:autoSpaceDN w:val="0"/>
              <w:adjustRightInd w:val="0"/>
              <w:jc w:val="both"/>
            </w:pPr>
          </w:p>
        </w:tc>
        <w:tc>
          <w:tcPr>
            <w:tcW w:w="1302" w:type="dxa"/>
          </w:tcPr>
          <w:p w:rsidR="0087644D" w:rsidRDefault="0087644D" w:rsidP="0087644D">
            <w:pPr>
              <w:autoSpaceDE w:val="0"/>
              <w:autoSpaceDN w:val="0"/>
              <w:adjustRightInd w:val="0"/>
              <w:jc w:val="both"/>
            </w:pPr>
          </w:p>
        </w:tc>
        <w:tc>
          <w:tcPr>
            <w:tcW w:w="1529" w:type="dxa"/>
          </w:tcPr>
          <w:p w:rsidR="0087644D" w:rsidRDefault="00381650" w:rsidP="0087644D">
            <w:pPr>
              <w:autoSpaceDE w:val="0"/>
              <w:autoSpaceDN w:val="0"/>
              <w:adjustRightInd w:val="0"/>
              <w:jc w:val="both"/>
            </w:pPr>
            <w:r>
              <w:t>1.77 m/d</w:t>
            </w:r>
          </w:p>
        </w:tc>
      </w:tr>
      <w:tr w:rsidR="0087644D" w:rsidTr="0087644D">
        <w:tc>
          <w:tcPr>
            <w:tcW w:w="1639" w:type="dxa"/>
          </w:tcPr>
          <w:p w:rsidR="0087644D" w:rsidRDefault="00381650" w:rsidP="0087644D">
            <w:pPr>
              <w:autoSpaceDE w:val="0"/>
              <w:autoSpaceDN w:val="0"/>
              <w:adjustRightInd w:val="0"/>
              <w:jc w:val="both"/>
            </w:pPr>
            <w:r>
              <w:t>Bradford (2004)</w:t>
            </w:r>
          </w:p>
        </w:tc>
        <w:tc>
          <w:tcPr>
            <w:tcW w:w="1593" w:type="dxa"/>
          </w:tcPr>
          <w:p w:rsidR="0087644D" w:rsidRDefault="00381650" w:rsidP="0087644D">
            <w:pPr>
              <w:autoSpaceDE w:val="0"/>
              <w:autoSpaceDN w:val="0"/>
              <w:adjustRightInd w:val="0"/>
              <w:jc w:val="both"/>
            </w:pPr>
            <w:r>
              <w:t>Water table modelling</w:t>
            </w:r>
          </w:p>
        </w:tc>
        <w:tc>
          <w:tcPr>
            <w:tcW w:w="1643" w:type="dxa"/>
          </w:tcPr>
          <w:p w:rsidR="0087644D" w:rsidRDefault="00381650" w:rsidP="0087644D">
            <w:pPr>
              <w:autoSpaceDE w:val="0"/>
              <w:autoSpaceDN w:val="0"/>
              <w:adjustRightInd w:val="0"/>
              <w:jc w:val="both"/>
            </w:pPr>
            <w:r>
              <w:t>Tadham Moor</w:t>
            </w:r>
          </w:p>
        </w:tc>
        <w:tc>
          <w:tcPr>
            <w:tcW w:w="1536" w:type="dxa"/>
          </w:tcPr>
          <w:p w:rsidR="0087644D" w:rsidRDefault="0087644D" w:rsidP="0087644D">
            <w:pPr>
              <w:autoSpaceDE w:val="0"/>
              <w:autoSpaceDN w:val="0"/>
              <w:adjustRightInd w:val="0"/>
              <w:jc w:val="both"/>
            </w:pPr>
          </w:p>
        </w:tc>
        <w:tc>
          <w:tcPr>
            <w:tcW w:w="1302" w:type="dxa"/>
          </w:tcPr>
          <w:p w:rsidR="0087644D" w:rsidRDefault="0087644D" w:rsidP="0087644D">
            <w:pPr>
              <w:autoSpaceDE w:val="0"/>
              <w:autoSpaceDN w:val="0"/>
              <w:adjustRightInd w:val="0"/>
              <w:jc w:val="both"/>
            </w:pPr>
          </w:p>
        </w:tc>
        <w:tc>
          <w:tcPr>
            <w:tcW w:w="1529" w:type="dxa"/>
          </w:tcPr>
          <w:p w:rsidR="0087644D" w:rsidRPr="007728D9" w:rsidRDefault="00381650" w:rsidP="0087644D">
            <w:pPr>
              <w:rPr>
                <w:rFonts w:eastAsia="Times New Roman" w:cs="Times New Roman"/>
                <w:color w:val="000000"/>
              </w:rPr>
            </w:pPr>
            <w:r>
              <w:rPr>
                <w:rFonts w:eastAsia="Times New Roman" w:cs="Times New Roman"/>
                <w:color w:val="000000"/>
              </w:rPr>
              <w:t>2 m/d</w:t>
            </w:r>
          </w:p>
        </w:tc>
      </w:tr>
      <w:tr w:rsidR="0087644D" w:rsidTr="0087644D">
        <w:tc>
          <w:tcPr>
            <w:tcW w:w="1639" w:type="dxa"/>
          </w:tcPr>
          <w:p w:rsidR="0087644D" w:rsidRDefault="00381650" w:rsidP="0087644D">
            <w:pPr>
              <w:autoSpaceDE w:val="0"/>
              <w:autoSpaceDN w:val="0"/>
              <w:adjustRightInd w:val="0"/>
              <w:jc w:val="both"/>
            </w:pPr>
            <w:r>
              <w:t>Armstrong (1989)</w:t>
            </w:r>
          </w:p>
        </w:tc>
        <w:tc>
          <w:tcPr>
            <w:tcW w:w="1593" w:type="dxa"/>
          </w:tcPr>
          <w:p w:rsidR="0087644D" w:rsidRDefault="0087644D" w:rsidP="0087644D">
            <w:pPr>
              <w:autoSpaceDE w:val="0"/>
              <w:autoSpaceDN w:val="0"/>
              <w:adjustRightInd w:val="0"/>
              <w:jc w:val="both"/>
            </w:pPr>
          </w:p>
        </w:tc>
        <w:tc>
          <w:tcPr>
            <w:tcW w:w="1643" w:type="dxa"/>
          </w:tcPr>
          <w:p w:rsidR="0087644D" w:rsidRDefault="00381650" w:rsidP="0087644D">
            <w:pPr>
              <w:autoSpaceDE w:val="0"/>
              <w:autoSpaceDN w:val="0"/>
              <w:adjustRightInd w:val="0"/>
              <w:jc w:val="both"/>
            </w:pPr>
            <w:r>
              <w:t>UK wide</w:t>
            </w:r>
          </w:p>
        </w:tc>
        <w:tc>
          <w:tcPr>
            <w:tcW w:w="1536" w:type="dxa"/>
          </w:tcPr>
          <w:p w:rsidR="0087644D" w:rsidRDefault="0087644D" w:rsidP="0087644D">
            <w:pPr>
              <w:autoSpaceDE w:val="0"/>
              <w:autoSpaceDN w:val="0"/>
              <w:adjustRightInd w:val="0"/>
              <w:jc w:val="both"/>
            </w:pPr>
          </w:p>
        </w:tc>
        <w:tc>
          <w:tcPr>
            <w:tcW w:w="1302" w:type="dxa"/>
          </w:tcPr>
          <w:p w:rsidR="0087644D" w:rsidRDefault="0087644D" w:rsidP="0087644D">
            <w:pPr>
              <w:autoSpaceDE w:val="0"/>
              <w:autoSpaceDN w:val="0"/>
              <w:adjustRightInd w:val="0"/>
              <w:jc w:val="both"/>
            </w:pPr>
          </w:p>
        </w:tc>
        <w:tc>
          <w:tcPr>
            <w:tcW w:w="1529" w:type="dxa"/>
          </w:tcPr>
          <w:p w:rsidR="0087644D" w:rsidRPr="007728D9" w:rsidRDefault="00381650" w:rsidP="0087644D">
            <w:pPr>
              <w:rPr>
                <w:rFonts w:eastAsia="Times New Roman" w:cs="Times New Roman"/>
                <w:color w:val="000000"/>
              </w:rPr>
            </w:pPr>
            <w:r>
              <w:rPr>
                <w:rFonts w:eastAsia="Times New Roman" w:cs="Times New Roman"/>
                <w:color w:val="000000"/>
              </w:rPr>
              <w:t>0.96 m/d</w:t>
            </w:r>
          </w:p>
        </w:tc>
      </w:tr>
      <w:tr w:rsidR="0087644D" w:rsidTr="0087644D">
        <w:tc>
          <w:tcPr>
            <w:tcW w:w="1639" w:type="dxa"/>
          </w:tcPr>
          <w:p w:rsidR="0087644D" w:rsidRDefault="00381650" w:rsidP="0087644D">
            <w:pPr>
              <w:autoSpaceDE w:val="0"/>
              <w:autoSpaceDN w:val="0"/>
              <w:adjustRightInd w:val="0"/>
              <w:jc w:val="both"/>
            </w:pPr>
            <w:r>
              <w:t>Kechavarzi (2010)</w:t>
            </w:r>
          </w:p>
        </w:tc>
        <w:tc>
          <w:tcPr>
            <w:tcW w:w="1593" w:type="dxa"/>
          </w:tcPr>
          <w:p w:rsidR="0087644D" w:rsidRDefault="00381650" w:rsidP="00381650">
            <w:pPr>
              <w:autoSpaceDE w:val="0"/>
              <w:autoSpaceDN w:val="0"/>
              <w:adjustRightInd w:val="0"/>
              <w:jc w:val="both"/>
            </w:pPr>
            <w:r>
              <w:t>Lab sample analysis</w:t>
            </w:r>
          </w:p>
        </w:tc>
        <w:tc>
          <w:tcPr>
            <w:tcW w:w="1643" w:type="dxa"/>
          </w:tcPr>
          <w:p w:rsidR="0087644D" w:rsidRDefault="00381650" w:rsidP="0087644D">
            <w:pPr>
              <w:autoSpaceDE w:val="0"/>
              <w:autoSpaceDN w:val="0"/>
              <w:adjustRightInd w:val="0"/>
              <w:jc w:val="both"/>
            </w:pPr>
            <w:r>
              <w:t>West Sedgemoor</w:t>
            </w:r>
          </w:p>
        </w:tc>
        <w:tc>
          <w:tcPr>
            <w:tcW w:w="1536" w:type="dxa"/>
          </w:tcPr>
          <w:p w:rsidR="0087644D" w:rsidRDefault="00681897" w:rsidP="0087644D">
            <w:pPr>
              <w:autoSpaceDE w:val="0"/>
              <w:autoSpaceDN w:val="0"/>
              <w:adjustRightInd w:val="0"/>
              <w:jc w:val="both"/>
            </w:pPr>
            <w:r>
              <w:t>0 – 0.15 m</w:t>
            </w:r>
          </w:p>
        </w:tc>
        <w:tc>
          <w:tcPr>
            <w:tcW w:w="1302" w:type="dxa"/>
          </w:tcPr>
          <w:p w:rsidR="0087644D" w:rsidRDefault="00681897" w:rsidP="0087644D">
            <w:pPr>
              <w:autoSpaceDE w:val="0"/>
              <w:autoSpaceDN w:val="0"/>
              <w:adjustRightInd w:val="0"/>
              <w:jc w:val="both"/>
            </w:pPr>
            <w:r>
              <w:t>Peaty loam</w:t>
            </w:r>
          </w:p>
        </w:tc>
        <w:tc>
          <w:tcPr>
            <w:tcW w:w="1529" w:type="dxa"/>
          </w:tcPr>
          <w:p w:rsidR="0087644D" w:rsidRPr="007728D9" w:rsidRDefault="00381650" w:rsidP="00681897">
            <w:pPr>
              <w:rPr>
                <w:rFonts w:eastAsia="Times New Roman" w:cs="Times New Roman"/>
                <w:color w:val="000000"/>
              </w:rPr>
            </w:pPr>
            <w:r>
              <w:rPr>
                <w:rFonts w:eastAsia="Times New Roman" w:cs="Times New Roman"/>
                <w:color w:val="000000"/>
              </w:rPr>
              <w:t>1.51 m/d</w:t>
            </w:r>
          </w:p>
        </w:tc>
      </w:tr>
      <w:tr w:rsidR="00681897" w:rsidTr="0087644D">
        <w:tc>
          <w:tcPr>
            <w:tcW w:w="1639" w:type="dxa"/>
          </w:tcPr>
          <w:p w:rsidR="00681897" w:rsidRDefault="00681897" w:rsidP="0087644D">
            <w:pPr>
              <w:autoSpaceDE w:val="0"/>
              <w:autoSpaceDN w:val="0"/>
              <w:adjustRightInd w:val="0"/>
              <w:jc w:val="both"/>
            </w:pPr>
            <w:r>
              <w:t>Kechavarzi (2010)</w:t>
            </w:r>
          </w:p>
        </w:tc>
        <w:tc>
          <w:tcPr>
            <w:tcW w:w="1593" w:type="dxa"/>
          </w:tcPr>
          <w:p w:rsidR="00681897" w:rsidRDefault="00681897" w:rsidP="00381650">
            <w:pPr>
              <w:autoSpaceDE w:val="0"/>
              <w:autoSpaceDN w:val="0"/>
              <w:adjustRightInd w:val="0"/>
              <w:jc w:val="both"/>
            </w:pPr>
            <w:r>
              <w:t>Lab sample analysis</w:t>
            </w:r>
          </w:p>
        </w:tc>
        <w:tc>
          <w:tcPr>
            <w:tcW w:w="1643" w:type="dxa"/>
          </w:tcPr>
          <w:p w:rsidR="00681897" w:rsidRDefault="00681897" w:rsidP="0087644D">
            <w:pPr>
              <w:autoSpaceDE w:val="0"/>
              <w:autoSpaceDN w:val="0"/>
              <w:adjustRightInd w:val="0"/>
              <w:jc w:val="both"/>
            </w:pPr>
            <w:r>
              <w:t>West Sedgemoor</w:t>
            </w:r>
          </w:p>
        </w:tc>
        <w:tc>
          <w:tcPr>
            <w:tcW w:w="1536" w:type="dxa"/>
          </w:tcPr>
          <w:p w:rsidR="00681897" w:rsidRDefault="00681897" w:rsidP="0087644D">
            <w:pPr>
              <w:autoSpaceDE w:val="0"/>
              <w:autoSpaceDN w:val="0"/>
              <w:adjustRightInd w:val="0"/>
              <w:jc w:val="both"/>
            </w:pPr>
            <w:r>
              <w:t>0.35 to 0.5 m</w:t>
            </w:r>
          </w:p>
        </w:tc>
        <w:tc>
          <w:tcPr>
            <w:tcW w:w="1302" w:type="dxa"/>
          </w:tcPr>
          <w:p w:rsidR="00681897" w:rsidRDefault="00681897" w:rsidP="0087644D">
            <w:pPr>
              <w:autoSpaceDE w:val="0"/>
              <w:autoSpaceDN w:val="0"/>
              <w:adjustRightInd w:val="0"/>
              <w:jc w:val="both"/>
            </w:pPr>
            <w:r>
              <w:t>Humified peat</w:t>
            </w:r>
          </w:p>
        </w:tc>
        <w:tc>
          <w:tcPr>
            <w:tcW w:w="1529" w:type="dxa"/>
          </w:tcPr>
          <w:p w:rsidR="00681897" w:rsidRDefault="00681897" w:rsidP="0087644D">
            <w:pPr>
              <w:rPr>
                <w:rFonts w:eastAsia="Times New Roman" w:cs="Times New Roman"/>
                <w:color w:val="000000"/>
              </w:rPr>
            </w:pPr>
            <w:r>
              <w:rPr>
                <w:rFonts w:eastAsia="Times New Roman" w:cs="Times New Roman"/>
                <w:color w:val="000000"/>
              </w:rPr>
              <w:t>1.55 m/d</w:t>
            </w:r>
          </w:p>
        </w:tc>
      </w:tr>
      <w:tr w:rsidR="00681897" w:rsidTr="0087644D">
        <w:tc>
          <w:tcPr>
            <w:tcW w:w="1639" w:type="dxa"/>
          </w:tcPr>
          <w:p w:rsidR="00681897" w:rsidRDefault="00681897" w:rsidP="0087644D">
            <w:pPr>
              <w:autoSpaceDE w:val="0"/>
              <w:autoSpaceDN w:val="0"/>
              <w:adjustRightInd w:val="0"/>
              <w:jc w:val="both"/>
            </w:pPr>
            <w:r>
              <w:t>Kechavarzi (2010)</w:t>
            </w:r>
          </w:p>
        </w:tc>
        <w:tc>
          <w:tcPr>
            <w:tcW w:w="1593" w:type="dxa"/>
          </w:tcPr>
          <w:p w:rsidR="00681897" w:rsidRDefault="00681897" w:rsidP="00381650">
            <w:pPr>
              <w:autoSpaceDE w:val="0"/>
              <w:autoSpaceDN w:val="0"/>
              <w:adjustRightInd w:val="0"/>
              <w:jc w:val="both"/>
            </w:pPr>
            <w:r>
              <w:t>Lab sample analysis</w:t>
            </w:r>
          </w:p>
        </w:tc>
        <w:tc>
          <w:tcPr>
            <w:tcW w:w="1643" w:type="dxa"/>
          </w:tcPr>
          <w:p w:rsidR="00681897" w:rsidRDefault="00681897" w:rsidP="0087644D">
            <w:pPr>
              <w:autoSpaceDE w:val="0"/>
              <w:autoSpaceDN w:val="0"/>
              <w:adjustRightInd w:val="0"/>
              <w:jc w:val="both"/>
            </w:pPr>
            <w:r>
              <w:t>West Sedgemoor</w:t>
            </w:r>
          </w:p>
        </w:tc>
        <w:tc>
          <w:tcPr>
            <w:tcW w:w="1536" w:type="dxa"/>
          </w:tcPr>
          <w:p w:rsidR="00681897" w:rsidRDefault="00681897" w:rsidP="0087644D">
            <w:pPr>
              <w:autoSpaceDE w:val="0"/>
              <w:autoSpaceDN w:val="0"/>
              <w:adjustRightInd w:val="0"/>
              <w:jc w:val="both"/>
            </w:pPr>
            <w:r>
              <w:t>0.85 to 1.0 m</w:t>
            </w:r>
          </w:p>
        </w:tc>
        <w:tc>
          <w:tcPr>
            <w:tcW w:w="1302" w:type="dxa"/>
          </w:tcPr>
          <w:p w:rsidR="00681897" w:rsidRDefault="00681897" w:rsidP="0087644D">
            <w:pPr>
              <w:autoSpaceDE w:val="0"/>
              <w:autoSpaceDN w:val="0"/>
              <w:adjustRightInd w:val="0"/>
              <w:jc w:val="both"/>
            </w:pPr>
            <w:r>
              <w:t>Semi-fibrous peat</w:t>
            </w:r>
          </w:p>
        </w:tc>
        <w:tc>
          <w:tcPr>
            <w:tcW w:w="1529" w:type="dxa"/>
          </w:tcPr>
          <w:p w:rsidR="00681897" w:rsidRDefault="00681897" w:rsidP="0087644D">
            <w:pPr>
              <w:rPr>
                <w:rFonts w:eastAsia="Times New Roman" w:cs="Times New Roman"/>
                <w:color w:val="000000"/>
              </w:rPr>
            </w:pPr>
            <w:r>
              <w:rPr>
                <w:rFonts w:eastAsia="Times New Roman" w:cs="Times New Roman"/>
                <w:color w:val="000000"/>
              </w:rPr>
              <w:t>2.3 m/d</w:t>
            </w:r>
          </w:p>
        </w:tc>
      </w:tr>
      <w:tr w:rsidR="0087644D" w:rsidTr="0087644D">
        <w:tc>
          <w:tcPr>
            <w:tcW w:w="1639" w:type="dxa"/>
          </w:tcPr>
          <w:p w:rsidR="0087644D" w:rsidRDefault="00381650" w:rsidP="0087644D">
            <w:pPr>
              <w:autoSpaceDE w:val="0"/>
              <w:autoSpaceDN w:val="0"/>
              <w:adjustRightInd w:val="0"/>
              <w:jc w:val="both"/>
            </w:pPr>
            <w:r>
              <w:t>Dawson (2006)</w:t>
            </w:r>
          </w:p>
        </w:tc>
        <w:tc>
          <w:tcPr>
            <w:tcW w:w="1593" w:type="dxa"/>
          </w:tcPr>
          <w:p w:rsidR="0087644D" w:rsidRDefault="00381650" w:rsidP="0087644D">
            <w:pPr>
              <w:autoSpaceDE w:val="0"/>
              <w:autoSpaceDN w:val="0"/>
              <w:adjustRightInd w:val="0"/>
              <w:jc w:val="both"/>
            </w:pPr>
            <w:r>
              <w:t>Field derived measurement</w:t>
            </w:r>
          </w:p>
        </w:tc>
        <w:tc>
          <w:tcPr>
            <w:tcW w:w="1643" w:type="dxa"/>
          </w:tcPr>
          <w:p w:rsidR="0087644D" w:rsidRDefault="00381650" w:rsidP="0087644D">
            <w:pPr>
              <w:autoSpaceDE w:val="0"/>
              <w:autoSpaceDN w:val="0"/>
              <w:adjustRightInd w:val="0"/>
              <w:jc w:val="both"/>
            </w:pPr>
            <w:r>
              <w:t>West Sedgemoor</w:t>
            </w:r>
          </w:p>
        </w:tc>
        <w:tc>
          <w:tcPr>
            <w:tcW w:w="1536" w:type="dxa"/>
          </w:tcPr>
          <w:p w:rsidR="0087644D" w:rsidRDefault="0087644D" w:rsidP="0087644D">
            <w:pPr>
              <w:autoSpaceDE w:val="0"/>
              <w:autoSpaceDN w:val="0"/>
              <w:adjustRightInd w:val="0"/>
              <w:jc w:val="both"/>
            </w:pPr>
          </w:p>
        </w:tc>
        <w:tc>
          <w:tcPr>
            <w:tcW w:w="1302" w:type="dxa"/>
          </w:tcPr>
          <w:p w:rsidR="0087644D" w:rsidRDefault="0087644D" w:rsidP="0087644D">
            <w:pPr>
              <w:autoSpaceDE w:val="0"/>
              <w:autoSpaceDN w:val="0"/>
              <w:adjustRightInd w:val="0"/>
              <w:jc w:val="both"/>
            </w:pPr>
          </w:p>
        </w:tc>
        <w:tc>
          <w:tcPr>
            <w:tcW w:w="1529" w:type="dxa"/>
          </w:tcPr>
          <w:p w:rsidR="0087644D" w:rsidRDefault="00381650" w:rsidP="0087644D">
            <w:pPr>
              <w:autoSpaceDE w:val="0"/>
              <w:autoSpaceDN w:val="0"/>
              <w:adjustRightInd w:val="0"/>
              <w:jc w:val="both"/>
            </w:pPr>
            <w:r>
              <w:t>Mean 0.8 m/d</w:t>
            </w:r>
          </w:p>
          <w:p w:rsidR="00381650" w:rsidRDefault="00381650" w:rsidP="0087644D">
            <w:pPr>
              <w:autoSpaceDE w:val="0"/>
              <w:autoSpaceDN w:val="0"/>
              <w:adjustRightInd w:val="0"/>
              <w:jc w:val="both"/>
            </w:pPr>
            <w:r>
              <w:t>Min 0.28 m/d</w:t>
            </w:r>
          </w:p>
          <w:p w:rsidR="00381650" w:rsidRDefault="00381650" w:rsidP="0087644D">
            <w:pPr>
              <w:autoSpaceDE w:val="0"/>
              <w:autoSpaceDN w:val="0"/>
              <w:adjustRightInd w:val="0"/>
              <w:jc w:val="both"/>
            </w:pPr>
            <w:r>
              <w:t>Max 3.57 m/d</w:t>
            </w:r>
          </w:p>
        </w:tc>
      </w:tr>
      <w:tr w:rsidR="0087644D" w:rsidTr="0087644D">
        <w:tc>
          <w:tcPr>
            <w:tcW w:w="1639" w:type="dxa"/>
          </w:tcPr>
          <w:p w:rsidR="0087644D" w:rsidRDefault="00381650" w:rsidP="0087644D">
            <w:pPr>
              <w:autoSpaceDE w:val="0"/>
              <w:autoSpaceDN w:val="0"/>
              <w:adjustRightInd w:val="0"/>
              <w:jc w:val="both"/>
            </w:pPr>
            <w:r>
              <w:t>Baird and Gaffney (2000)</w:t>
            </w:r>
          </w:p>
        </w:tc>
        <w:tc>
          <w:tcPr>
            <w:tcW w:w="1593" w:type="dxa"/>
          </w:tcPr>
          <w:p w:rsidR="0087644D" w:rsidRDefault="00681897" w:rsidP="0087644D">
            <w:pPr>
              <w:autoSpaceDE w:val="0"/>
              <w:autoSpaceDN w:val="0"/>
              <w:adjustRightInd w:val="0"/>
              <w:jc w:val="both"/>
            </w:pPr>
            <w:r>
              <w:t>Solute tracing</w:t>
            </w:r>
          </w:p>
        </w:tc>
        <w:tc>
          <w:tcPr>
            <w:tcW w:w="1643" w:type="dxa"/>
          </w:tcPr>
          <w:p w:rsidR="0087644D" w:rsidRDefault="00681897" w:rsidP="0087644D">
            <w:pPr>
              <w:autoSpaceDE w:val="0"/>
              <w:autoSpaceDN w:val="0"/>
              <w:adjustRightInd w:val="0"/>
              <w:jc w:val="both"/>
            </w:pPr>
            <w:r>
              <w:t>Catcott Heath</w:t>
            </w:r>
          </w:p>
        </w:tc>
        <w:tc>
          <w:tcPr>
            <w:tcW w:w="1536" w:type="dxa"/>
          </w:tcPr>
          <w:p w:rsidR="0087644D" w:rsidRDefault="0087644D" w:rsidP="0087644D">
            <w:pPr>
              <w:autoSpaceDE w:val="0"/>
              <w:autoSpaceDN w:val="0"/>
              <w:adjustRightInd w:val="0"/>
              <w:jc w:val="both"/>
            </w:pPr>
          </w:p>
        </w:tc>
        <w:tc>
          <w:tcPr>
            <w:tcW w:w="1302" w:type="dxa"/>
          </w:tcPr>
          <w:p w:rsidR="0087644D" w:rsidRDefault="0087644D" w:rsidP="0087644D">
            <w:pPr>
              <w:autoSpaceDE w:val="0"/>
              <w:autoSpaceDN w:val="0"/>
              <w:adjustRightInd w:val="0"/>
              <w:jc w:val="both"/>
            </w:pPr>
          </w:p>
        </w:tc>
        <w:tc>
          <w:tcPr>
            <w:tcW w:w="1529" w:type="dxa"/>
          </w:tcPr>
          <w:p w:rsidR="0087644D" w:rsidRDefault="00681897" w:rsidP="0087644D">
            <w:pPr>
              <w:autoSpaceDE w:val="0"/>
              <w:autoSpaceDN w:val="0"/>
              <w:adjustRightInd w:val="0"/>
              <w:jc w:val="both"/>
            </w:pPr>
            <w:r>
              <w:t>Mean 3.2 m/d</w:t>
            </w:r>
          </w:p>
          <w:p w:rsidR="00681897" w:rsidRDefault="00681897" w:rsidP="0087644D">
            <w:pPr>
              <w:autoSpaceDE w:val="0"/>
              <w:autoSpaceDN w:val="0"/>
              <w:adjustRightInd w:val="0"/>
              <w:jc w:val="both"/>
            </w:pPr>
            <w:r>
              <w:t>Min 0.5 m/d</w:t>
            </w:r>
          </w:p>
          <w:p w:rsidR="00681897" w:rsidRDefault="00681897" w:rsidP="0087644D">
            <w:pPr>
              <w:autoSpaceDE w:val="0"/>
              <w:autoSpaceDN w:val="0"/>
              <w:adjustRightInd w:val="0"/>
              <w:jc w:val="both"/>
            </w:pPr>
            <w:r>
              <w:t>Max 5.5 m/d</w:t>
            </w:r>
          </w:p>
        </w:tc>
      </w:tr>
      <w:tr w:rsidR="006935BE" w:rsidTr="00DC2CF1">
        <w:tc>
          <w:tcPr>
            <w:tcW w:w="4875" w:type="dxa"/>
            <w:gridSpan w:val="3"/>
          </w:tcPr>
          <w:p w:rsidR="006935BE" w:rsidRDefault="006935BE" w:rsidP="0087644D">
            <w:pPr>
              <w:autoSpaceDE w:val="0"/>
              <w:autoSpaceDN w:val="0"/>
              <w:adjustRightInd w:val="0"/>
              <w:jc w:val="both"/>
            </w:pPr>
          </w:p>
        </w:tc>
        <w:tc>
          <w:tcPr>
            <w:tcW w:w="2838" w:type="dxa"/>
            <w:gridSpan w:val="2"/>
          </w:tcPr>
          <w:p w:rsidR="006935BE" w:rsidRPr="006935BE" w:rsidRDefault="006935BE" w:rsidP="0087644D">
            <w:pPr>
              <w:autoSpaceDE w:val="0"/>
              <w:autoSpaceDN w:val="0"/>
              <w:adjustRightInd w:val="0"/>
              <w:jc w:val="both"/>
              <w:rPr>
                <w:b/>
              </w:rPr>
            </w:pPr>
            <w:r w:rsidRPr="006935BE">
              <w:rPr>
                <w:b/>
              </w:rPr>
              <w:t>Mean</w:t>
            </w:r>
          </w:p>
        </w:tc>
        <w:tc>
          <w:tcPr>
            <w:tcW w:w="1529" w:type="dxa"/>
          </w:tcPr>
          <w:p w:rsidR="006935BE" w:rsidRPr="006935BE" w:rsidRDefault="006935BE" w:rsidP="0087644D">
            <w:pPr>
              <w:autoSpaceDE w:val="0"/>
              <w:autoSpaceDN w:val="0"/>
              <w:adjustRightInd w:val="0"/>
              <w:jc w:val="both"/>
              <w:rPr>
                <w:b/>
              </w:rPr>
            </w:pPr>
            <w:r w:rsidRPr="006935BE">
              <w:rPr>
                <w:b/>
              </w:rPr>
              <w:t>1.9 m/d</w:t>
            </w:r>
          </w:p>
        </w:tc>
      </w:tr>
      <w:tr w:rsidR="006935BE" w:rsidTr="00DC2CF1">
        <w:tc>
          <w:tcPr>
            <w:tcW w:w="4875" w:type="dxa"/>
            <w:gridSpan w:val="3"/>
          </w:tcPr>
          <w:p w:rsidR="006935BE" w:rsidRDefault="006935BE" w:rsidP="0087644D">
            <w:pPr>
              <w:autoSpaceDE w:val="0"/>
              <w:autoSpaceDN w:val="0"/>
              <w:adjustRightInd w:val="0"/>
              <w:jc w:val="both"/>
            </w:pPr>
          </w:p>
        </w:tc>
        <w:tc>
          <w:tcPr>
            <w:tcW w:w="2838" w:type="dxa"/>
            <w:gridSpan w:val="2"/>
          </w:tcPr>
          <w:p w:rsidR="006935BE" w:rsidRPr="006935BE" w:rsidRDefault="006935BE" w:rsidP="0087644D">
            <w:pPr>
              <w:autoSpaceDE w:val="0"/>
              <w:autoSpaceDN w:val="0"/>
              <w:adjustRightInd w:val="0"/>
              <w:jc w:val="both"/>
              <w:rPr>
                <w:b/>
              </w:rPr>
            </w:pPr>
            <w:r w:rsidRPr="006935BE">
              <w:rPr>
                <w:b/>
              </w:rPr>
              <w:t>Min</w:t>
            </w:r>
          </w:p>
        </w:tc>
        <w:tc>
          <w:tcPr>
            <w:tcW w:w="1529" w:type="dxa"/>
          </w:tcPr>
          <w:p w:rsidR="006935BE" w:rsidRPr="006935BE" w:rsidRDefault="006935BE" w:rsidP="0087644D">
            <w:pPr>
              <w:autoSpaceDE w:val="0"/>
              <w:autoSpaceDN w:val="0"/>
              <w:adjustRightInd w:val="0"/>
              <w:jc w:val="both"/>
              <w:rPr>
                <w:b/>
              </w:rPr>
            </w:pPr>
            <w:r w:rsidRPr="006935BE">
              <w:rPr>
                <w:b/>
              </w:rPr>
              <w:t>0.28 m/d</w:t>
            </w:r>
          </w:p>
        </w:tc>
      </w:tr>
      <w:tr w:rsidR="006935BE" w:rsidTr="00DC2CF1">
        <w:tc>
          <w:tcPr>
            <w:tcW w:w="4875" w:type="dxa"/>
            <w:gridSpan w:val="3"/>
          </w:tcPr>
          <w:p w:rsidR="006935BE" w:rsidRDefault="006935BE" w:rsidP="0087644D">
            <w:pPr>
              <w:autoSpaceDE w:val="0"/>
              <w:autoSpaceDN w:val="0"/>
              <w:adjustRightInd w:val="0"/>
              <w:jc w:val="both"/>
            </w:pPr>
          </w:p>
        </w:tc>
        <w:tc>
          <w:tcPr>
            <w:tcW w:w="2838" w:type="dxa"/>
            <w:gridSpan w:val="2"/>
          </w:tcPr>
          <w:p w:rsidR="006935BE" w:rsidRPr="006935BE" w:rsidRDefault="006935BE" w:rsidP="0087644D">
            <w:pPr>
              <w:autoSpaceDE w:val="0"/>
              <w:autoSpaceDN w:val="0"/>
              <w:adjustRightInd w:val="0"/>
              <w:jc w:val="both"/>
              <w:rPr>
                <w:b/>
              </w:rPr>
            </w:pPr>
            <w:r w:rsidRPr="006935BE">
              <w:rPr>
                <w:b/>
              </w:rPr>
              <w:t>Max</w:t>
            </w:r>
          </w:p>
        </w:tc>
        <w:tc>
          <w:tcPr>
            <w:tcW w:w="1529" w:type="dxa"/>
          </w:tcPr>
          <w:p w:rsidR="006935BE" w:rsidRPr="006935BE" w:rsidRDefault="006935BE" w:rsidP="0087644D">
            <w:pPr>
              <w:autoSpaceDE w:val="0"/>
              <w:autoSpaceDN w:val="0"/>
              <w:adjustRightInd w:val="0"/>
              <w:jc w:val="both"/>
              <w:rPr>
                <w:b/>
              </w:rPr>
            </w:pPr>
            <w:r w:rsidRPr="006935BE">
              <w:rPr>
                <w:b/>
              </w:rPr>
              <w:t>5.5 m/d</w:t>
            </w:r>
          </w:p>
        </w:tc>
      </w:tr>
      <w:tr w:rsidR="006935BE" w:rsidTr="00DC2CF1">
        <w:tc>
          <w:tcPr>
            <w:tcW w:w="9242" w:type="dxa"/>
            <w:gridSpan w:val="6"/>
          </w:tcPr>
          <w:p w:rsidR="006935BE" w:rsidRPr="006935BE" w:rsidRDefault="006935BE" w:rsidP="00677FF3">
            <w:pPr>
              <w:autoSpaceDE w:val="0"/>
              <w:autoSpaceDN w:val="0"/>
              <w:adjustRightInd w:val="0"/>
              <w:jc w:val="both"/>
            </w:pPr>
            <w:r>
              <w:t xml:space="preserve">Note the UK wide value given by Armstrong (1989) has not been included as the more relevant values from sites within the SLMs are likely to be more representative. </w:t>
            </w:r>
          </w:p>
        </w:tc>
      </w:tr>
    </w:tbl>
    <w:p w:rsidR="00D8413D" w:rsidRDefault="00CF4B63" w:rsidP="00B4335D">
      <w:pPr>
        <w:pStyle w:val="Heading2"/>
        <w:numPr>
          <w:ilvl w:val="0"/>
          <w:numId w:val="16"/>
        </w:numPr>
      </w:pPr>
      <w:bookmarkStart w:id="13" w:name="_Toc402956180"/>
      <w:r>
        <w:lastRenderedPageBreak/>
        <w:t xml:space="preserve">Calculation of </w:t>
      </w:r>
      <w:r w:rsidR="00AE0379">
        <w:t xml:space="preserve">ditch </w:t>
      </w:r>
      <w:r>
        <w:t>storage capacity</w:t>
      </w:r>
      <w:bookmarkEnd w:id="13"/>
    </w:p>
    <w:p w:rsidR="00B4335D" w:rsidRPr="00B4335D" w:rsidRDefault="00B4335D" w:rsidP="00B4335D"/>
    <w:p w:rsidR="00CF4B63" w:rsidRDefault="00AE0379" w:rsidP="002D73C2">
      <w:pPr>
        <w:jc w:val="both"/>
      </w:pPr>
      <w:r>
        <w:t>As previously outline</w:t>
      </w:r>
      <w:r w:rsidR="00CF4B63">
        <w:t xml:space="preserve">, </w:t>
      </w:r>
      <w:r>
        <w:t xml:space="preserve">ditch </w:t>
      </w:r>
      <w:r w:rsidR="00CF4B63">
        <w:t xml:space="preserve">storage capacity consists of two elements which combine to give the total </w:t>
      </w:r>
      <w:r>
        <w:t xml:space="preserve">ditch </w:t>
      </w:r>
      <w:r w:rsidR="00CF4B63">
        <w:t xml:space="preserve">storage. The first, in-channel storage, is calculated by multiplying the available water depth (the distance from the current water level to the bank full level of the ditch) by the channel width, and then by the length of ditch. The second element, in-soil storage, </w:t>
      </w:r>
      <w:r>
        <w:t xml:space="preserve">is calculated by multiplying the amount of soil likely to receive water by the available pore space in the soil. This can be done with varying levels of </w:t>
      </w:r>
      <w:r w:rsidR="00CF4B63">
        <w:t xml:space="preserve">complexity. </w:t>
      </w:r>
      <w:r>
        <w:t>The shape of the water table, and hence the amount of soil that can receive water, is approximated to a straight line from the water table in the ditch to the soil surface at the point given by the distance of influence. I</w:t>
      </w:r>
      <w:r w:rsidR="00814976">
        <w:t>t is felt that a straight line</w:t>
      </w:r>
      <w:r w:rsidR="00CF4B63">
        <w:t xml:space="preserve"> approximation of the water table profile will provide a</w:t>
      </w:r>
      <w:r w:rsidR="00814976">
        <w:t>n acceptable</w:t>
      </w:r>
      <w:r w:rsidR="00CF4B63">
        <w:t xml:space="preserve"> estimate of the </w:t>
      </w:r>
      <w:r w:rsidR="00814976">
        <w:t xml:space="preserve">soil water volume. </w:t>
      </w:r>
      <w:r w:rsidR="006E450D">
        <w:t xml:space="preserve">The area formed by the resulting triangle is multiplied by the specific yield in, giving the amount of water that can be readily accommodated by the soil per unit length. A graphical explanation of both storage elements is provided </w:t>
      </w:r>
      <w:r w:rsidR="00A12490">
        <w:t>in figure 11</w:t>
      </w:r>
      <w:r w:rsidR="009F5D32">
        <w:t xml:space="preserve"> </w:t>
      </w:r>
      <w:r w:rsidR="006E450D">
        <w:t xml:space="preserve">below. </w:t>
      </w:r>
    </w:p>
    <w:p w:rsidR="009F74D3" w:rsidRDefault="009F74D3" w:rsidP="009F74D3">
      <w:pPr>
        <w:keepNext/>
        <w:jc w:val="both"/>
      </w:pPr>
      <w:r>
        <w:rPr>
          <w:noProof/>
        </w:rPr>
        <w:drawing>
          <wp:inline distT="0" distB="0" distL="0" distR="0">
            <wp:extent cx="5731510" cy="2406015"/>
            <wp:effectExtent l="19050" t="0" r="2540" b="0"/>
            <wp:docPr id="10" name="Picture 9" descr="Storage elemen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age elements2.png"/>
                    <pic:cNvPicPr/>
                  </pic:nvPicPr>
                  <pic:blipFill>
                    <a:blip r:embed="rId23" cstate="email">
                      <a:extLst>
                        <a:ext uri="{28A0092B-C50C-407E-A947-70E740481C1C}">
                          <a14:useLocalDpi xmlns:a14="http://schemas.microsoft.com/office/drawing/2010/main"/>
                        </a:ext>
                      </a:extLst>
                    </a:blip>
                    <a:stretch>
                      <a:fillRect/>
                    </a:stretch>
                  </pic:blipFill>
                  <pic:spPr>
                    <a:xfrm>
                      <a:off x="0" y="0"/>
                      <a:ext cx="5731510" cy="2406015"/>
                    </a:xfrm>
                    <a:prstGeom prst="rect">
                      <a:avLst/>
                    </a:prstGeom>
                  </pic:spPr>
                </pic:pic>
              </a:graphicData>
            </a:graphic>
          </wp:inline>
        </w:drawing>
      </w:r>
    </w:p>
    <w:p w:rsidR="006E450D" w:rsidRDefault="009F74D3" w:rsidP="009F74D3">
      <w:pPr>
        <w:pStyle w:val="Caption"/>
        <w:jc w:val="both"/>
        <w:rPr>
          <w:b w:val="0"/>
          <w:color w:val="auto"/>
          <w:sz w:val="22"/>
          <w:szCs w:val="22"/>
        </w:rPr>
      </w:pPr>
      <w:r w:rsidRPr="009F74D3">
        <w:rPr>
          <w:b w:val="0"/>
          <w:color w:val="auto"/>
          <w:sz w:val="22"/>
          <w:szCs w:val="22"/>
        </w:rPr>
        <w:t xml:space="preserve">Figure </w:t>
      </w:r>
      <w:r w:rsidR="00251534" w:rsidRPr="009F74D3">
        <w:rPr>
          <w:b w:val="0"/>
          <w:color w:val="auto"/>
          <w:sz w:val="22"/>
          <w:szCs w:val="22"/>
        </w:rPr>
        <w:fldChar w:fldCharType="begin"/>
      </w:r>
      <w:r w:rsidRPr="009F74D3">
        <w:rPr>
          <w:b w:val="0"/>
          <w:color w:val="auto"/>
          <w:sz w:val="22"/>
          <w:szCs w:val="22"/>
        </w:rPr>
        <w:instrText xml:space="preserve"> SEQ Figure \* ARABIC </w:instrText>
      </w:r>
      <w:r w:rsidR="00251534" w:rsidRPr="009F74D3">
        <w:rPr>
          <w:b w:val="0"/>
          <w:color w:val="auto"/>
          <w:sz w:val="22"/>
          <w:szCs w:val="22"/>
        </w:rPr>
        <w:fldChar w:fldCharType="separate"/>
      </w:r>
      <w:r w:rsidR="000E193B">
        <w:rPr>
          <w:b w:val="0"/>
          <w:noProof/>
          <w:color w:val="auto"/>
          <w:sz w:val="22"/>
          <w:szCs w:val="22"/>
        </w:rPr>
        <w:t>11</w:t>
      </w:r>
      <w:r w:rsidR="00251534" w:rsidRPr="009F74D3">
        <w:rPr>
          <w:b w:val="0"/>
          <w:color w:val="auto"/>
          <w:sz w:val="22"/>
          <w:szCs w:val="22"/>
        </w:rPr>
        <w:fldChar w:fldCharType="end"/>
      </w:r>
      <w:r w:rsidR="00F54328">
        <w:rPr>
          <w:b w:val="0"/>
          <w:color w:val="auto"/>
          <w:sz w:val="22"/>
          <w:szCs w:val="22"/>
        </w:rPr>
        <w:t>.</w:t>
      </w:r>
      <w:r w:rsidRPr="009F74D3">
        <w:rPr>
          <w:b w:val="0"/>
          <w:color w:val="auto"/>
          <w:sz w:val="22"/>
          <w:szCs w:val="22"/>
        </w:rPr>
        <w:t xml:space="preserve"> Illustration of the two storage elements included in the</w:t>
      </w:r>
      <w:r w:rsidR="000F645F">
        <w:rPr>
          <w:b w:val="0"/>
          <w:color w:val="auto"/>
          <w:sz w:val="22"/>
          <w:szCs w:val="22"/>
        </w:rPr>
        <w:t xml:space="preserve"> calculation of </w:t>
      </w:r>
      <w:r w:rsidR="00AE0379">
        <w:rPr>
          <w:b w:val="0"/>
          <w:color w:val="auto"/>
          <w:sz w:val="22"/>
          <w:szCs w:val="22"/>
        </w:rPr>
        <w:t xml:space="preserve">total </w:t>
      </w:r>
      <w:r w:rsidR="000F645F">
        <w:rPr>
          <w:b w:val="0"/>
          <w:color w:val="auto"/>
          <w:sz w:val="22"/>
          <w:szCs w:val="22"/>
        </w:rPr>
        <w:t xml:space="preserve">ditch storage. The figure is based upon the likely winter </w:t>
      </w:r>
      <w:r w:rsidR="006C6567">
        <w:rPr>
          <w:b w:val="0"/>
          <w:color w:val="auto"/>
          <w:sz w:val="22"/>
          <w:szCs w:val="22"/>
        </w:rPr>
        <w:t xml:space="preserve">water level </w:t>
      </w:r>
      <w:r w:rsidR="000F645F">
        <w:rPr>
          <w:b w:val="0"/>
          <w:color w:val="auto"/>
          <w:sz w:val="22"/>
          <w:szCs w:val="22"/>
        </w:rPr>
        <w:t xml:space="preserve">condition of a ditch managed according to the </w:t>
      </w:r>
      <w:r w:rsidR="006C6567">
        <w:rPr>
          <w:b w:val="0"/>
          <w:color w:val="auto"/>
          <w:sz w:val="22"/>
          <w:szCs w:val="22"/>
        </w:rPr>
        <w:t>WLMP. The winter drawdown in the ditch has an influence on the adjacent soil water table. Y</w:t>
      </w:r>
      <w:r w:rsidR="000F645F">
        <w:rPr>
          <w:b w:val="0"/>
          <w:color w:val="auto"/>
          <w:sz w:val="22"/>
          <w:szCs w:val="22"/>
        </w:rPr>
        <w:t xml:space="preserve">ellow shading indicates the available storage capacity in the ditch and brown shading indicates the available storage capacity in the soil. The blue shading indicates the water level in the ditch and saturated soil. </w:t>
      </w:r>
    </w:p>
    <w:p w:rsidR="00AE0379" w:rsidRDefault="00AE0379" w:rsidP="00AE0379"/>
    <w:p w:rsidR="00FF3CA6" w:rsidRDefault="00AE0379" w:rsidP="00AE0379">
      <w:r>
        <w:t>The main set of calculations use</w:t>
      </w:r>
      <w:r w:rsidR="00FF3CA6">
        <w:t>s the mean</w:t>
      </w:r>
      <w:r>
        <w:t xml:space="preserve"> parameter values </w:t>
      </w:r>
      <w:r w:rsidR="00FF3CA6">
        <w:t>derived from the literature review. These are:</w:t>
      </w:r>
    </w:p>
    <w:p w:rsidR="00FF3CA6" w:rsidRDefault="00FF3CA6" w:rsidP="00FF3CA6">
      <w:pPr>
        <w:ind w:left="1440" w:firstLine="720"/>
      </w:pPr>
      <w:r>
        <w:t>D</w:t>
      </w:r>
      <w:r w:rsidR="00AE0379">
        <w:t>istance of influence</w:t>
      </w:r>
      <w:r>
        <w:t>: 9 m</w:t>
      </w:r>
    </w:p>
    <w:p w:rsidR="00FF3CA6" w:rsidRDefault="00FF3CA6" w:rsidP="00AE0379">
      <w:r>
        <w:tab/>
      </w:r>
      <w:r>
        <w:tab/>
      </w:r>
      <w:r>
        <w:tab/>
        <w:t>Specific yield: 0.2</w:t>
      </w:r>
    </w:p>
    <w:p w:rsidR="00FF3CA6" w:rsidRDefault="00FF3CA6" w:rsidP="00AE0379"/>
    <w:p w:rsidR="009F7C44" w:rsidRDefault="00FF3CA6" w:rsidP="00AE0379">
      <w:r>
        <w:lastRenderedPageBreak/>
        <w:t xml:space="preserve">Having quantified the two storage elements per unit length of ditch, this is multiplied by the length of ditch under the corresponding </w:t>
      </w:r>
      <w:r w:rsidR="009F7C44">
        <w:t>water level ma</w:t>
      </w:r>
      <w:r>
        <w:t>nagement condition</w:t>
      </w:r>
      <w:r w:rsidR="009F7C44">
        <w:t>:</w:t>
      </w:r>
    </w:p>
    <w:p w:rsidR="009F7C44" w:rsidRDefault="009F7C44" w:rsidP="009F7C44">
      <w:pPr>
        <w:pStyle w:val="ListParagraph"/>
        <w:numPr>
          <w:ilvl w:val="0"/>
          <w:numId w:val="30"/>
        </w:numPr>
        <w:jc w:val="both"/>
      </w:pPr>
      <w:r>
        <w:t xml:space="preserve">Winter ditch storage under current conditions. This assumes that water levels in the WLMP watercourses are maintained at 0.6 m below ground surface, except those in the RWLA which are maintained at ground surface. </w:t>
      </w:r>
    </w:p>
    <w:p w:rsidR="009F7C44" w:rsidRDefault="009F7C44" w:rsidP="009F7C44">
      <w:pPr>
        <w:pStyle w:val="ListParagraph"/>
        <w:numPr>
          <w:ilvl w:val="0"/>
          <w:numId w:val="30"/>
        </w:numPr>
        <w:jc w:val="both"/>
      </w:pPr>
      <w:r>
        <w:t xml:space="preserve">Winter theoretical maximum ditch storage. This assumes all WLMP and RWLA watercourses are maintained at 0.6 m below ground surface. No ditches are managed with water levels maintained at ground surface. </w:t>
      </w:r>
    </w:p>
    <w:p w:rsidR="009F7C44" w:rsidRDefault="009F7C44" w:rsidP="009F7C44">
      <w:pPr>
        <w:pStyle w:val="ListParagraph"/>
        <w:numPr>
          <w:ilvl w:val="0"/>
          <w:numId w:val="30"/>
        </w:numPr>
        <w:jc w:val="both"/>
      </w:pPr>
      <w:r>
        <w:t xml:space="preserve">Summer ditch storage. This assumes that all WLMP and RWLA watercourses are maintained at 0.3 m below ground surface. </w:t>
      </w:r>
    </w:p>
    <w:p w:rsidR="0014453A" w:rsidRDefault="0014453A" w:rsidP="009F7C44">
      <w:pPr>
        <w:jc w:val="both"/>
      </w:pPr>
      <w:r w:rsidRPr="009F7C44">
        <w:rPr>
          <w:rFonts w:eastAsia="Times New Roman" w:cs="Times New Roman"/>
          <w:bCs/>
          <w:color w:val="000000"/>
        </w:rPr>
        <w:t xml:space="preserve">The results are shown as total </w:t>
      </w:r>
      <w:r w:rsidR="006E58D8">
        <w:rPr>
          <w:rFonts w:eastAsia="Times New Roman" w:cs="Times New Roman"/>
          <w:bCs/>
          <w:color w:val="000000"/>
        </w:rPr>
        <w:t xml:space="preserve">ditch </w:t>
      </w:r>
      <w:r w:rsidRPr="009F7C44">
        <w:rPr>
          <w:rFonts w:eastAsia="Times New Roman" w:cs="Times New Roman"/>
          <w:bCs/>
          <w:color w:val="000000"/>
        </w:rPr>
        <w:t xml:space="preserve">storage volumes </w:t>
      </w:r>
      <w:r w:rsidR="006E58D8">
        <w:rPr>
          <w:rFonts w:eastAsia="Times New Roman" w:cs="Times New Roman"/>
          <w:bCs/>
          <w:color w:val="000000"/>
        </w:rPr>
        <w:t>for each WLMP</w:t>
      </w:r>
      <w:r w:rsidRPr="009F7C44">
        <w:rPr>
          <w:rFonts w:eastAsia="Times New Roman" w:cs="Times New Roman"/>
          <w:bCs/>
          <w:color w:val="000000"/>
        </w:rPr>
        <w:t xml:space="preserve"> area, and also broken down as </w:t>
      </w:r>
      <w:r w:rsidR="006E58D8">
        <w:rPr>
          <w:rFonts w:eastAsia="Times New Roman" w:cs="Times New Roman"/>
          <w:bCs/>
          <w:color w:val="000000"/>
        </w:rPr>
        <w:t>in-</w:t>
      </w:r>
      <w:r w:rsidRPr="009F7C44">
        <w:rPr>
          <w:rFonts w:eastAsia="Times New Roman" w:cs="Times New Roman"/>
          <w:bCs/>
          <w:color w:val="000000"/>
        </w:rPr>
        <w:t>ch</w:t>
      </w:r>
      <w:r w:rsidR="009F7C44">
        <w:rPr>
          <w:rFonts w:eastAsia="Times New Roman" w:cs="Times New Roman"/>
          <w:bCs/>
          <w:color w:val="000000"/>
        </w:rPr>
        <w:t xml:space="preserve">annel storage and </w:t>
      </w:r>
      <w:r w:rsidR="006E58D8">
        <w:rPr>
          <w:rFonts w:eastAsia="Times New Roman" w:cs="Times New Roman"/>
          <w:bCs/>
          <w:color w:val="000000"/>
        </w:rPr>
        <w:t>in-</w:t>
      </w:r>
      <w:r w:rsidR="009F7C44">
        <w:rPr>
          <w:rFonts w:eastAsia="Times New Roman" w:cs="Times New Roman"/>
          <w:bCs/>
          <w:color w:val="000000"/>
        </w:rPr>
        <w:t xml:space="preserve">soil storage. </w:t>
      </w:r>
      <w:r w:rsidR="009F5D32">
        <w:t>Table 11</w:t>
      </w:r>
      <w:r>
        <w:t xml:space="preserve"> and figure </w:t>
      </w:r>
      <w:r w:rsidR="009F7C44">
        <w:t>12</w:t>
      </w:r>
      <w:r w:rsidR="00CF7954">
        <w:t xml:space="preserve"> show the</w:t>
      </w:r>
      <w:r w:rsidR="009F7C44">
        <w:t xml:space="preserve"> results of these calculations.</w:t>
      </w:r>
    </w:p>
    <w:p w:rsidR="006E58D8" w:rsidRDefault="006E58D8" w:rsidP="009F7C44">
      <w:pPr>
        <w:jc w:val="both"/>
      </w:pPr>
      <w:r>
        <w:t xml:space="preserve">To set the total ditch storage volumes in context, estimates have also been made of the winter direct rainfall, total flood volume in </w:t>
      </w:r>
      <w:r w:rsidR="0017207F">
        <w:t>winter 2013/</w:t>
      </w:r>
      <w:r>
        <w:t>2014, and the flood volume that would affect the road of lowest elevation in each WLMP area. Calculation of these volumes was carried out as follows:</w:t>
      </w:r>
    </w:p>
    <w:p w:rsidR="0017207F" w:rsidRDefault="00B43CB4" w:rsidP="009F7C44">
      <w:pPr>
        <w:jc w:val="both"/>
      </w:pPr>
      <w:r>
        <w:rPr>
          <w:i/>
        </w:rPr>
        <w:t xml:space="preserve">Winter Direct Rainfall </w:t>
      </w:r>
      <w:r w:rsidRPr="00B43CB4">
        <w:t>(Table 12 and figure 13)</w:t>
      </w:r>
      <w:r w:rsidR="006E58D8">
        <w:t>. Aerial average daily rainfall (mm) was extracted from the CEH 1km</w:t>
      </w:r>
      <w:r w:rsidR="006E58D8">
        <w:rPr>
          <w:vertAlign w:val="superscript"/>
        </w:rPr>
        <w:t>2</w:t>
      </w:r>
      <w:r w:rsidR="006E58D8">
        <w:t xml:space="preserve"> GEAR dataset for each WLMP for the period covering 1</w:t>
      </w:r>
      <w:r w:rsidR="006E58D8" w:rsidRPr="006E58D8">
        <w:rPr>
          <w:vertAlign w:val="superscript"/>
        </w:rPr>
        <w:t>st</w:t>
      </w:r>
      <w:r w:rsidR="006E58D8">
        <w:t xml:space="preserve"> December 2013 to 28</w:t>
      </w:r>
      <w:r w:rsidR="006E58D8" w:rsidRPr="006E58D8">
        <w:rPr>
          <w:vertAlign w:val="superscript"/>
        </w:rPr>
        <w:t>th</w:t>
      </w:r>
      <w:r w:rsidR="006E58D8">
        <w:t xml:space="preserve"> February 2014 inclusive. The total depth of rainfall was calculated and multiplied by the area of WLMP. The resulting figure is the </w:t>
      </w:r>
      <w:r w:rsidR="0017207F">
        <w:t xml:space="preserve">total </w:t>
      </w:r>
      <w:r w:rsidR="006E58D8">
        <w:t>volume of rainfall falling directly on each WLMP area</w:t>
      </w:r>
      <w:r w:rsidR="0017207F">
        <w:t xml:space="preserve"> during winter 2013/2014</w:t>
      </w:r>
      <w:r w:rsidR="006E58D8">
        <w:t>.</w:t>
      </w:r>
      <w:r w:rsidR="003301CA">
        <w:t xml:space="preserve"> These calculations were carried out for all WLMP areas in the study. </w:t>
      </w:r>
    </w:p>
    <w:p w:rsidR="0017207F" w:rsidRDefault="0017207F" w:rsidP="009F7C44">
      <w:pPr>
        <w:jc w:val="both"/>
      </w:pPr>
      <w:r w:rsidRPr="0017207F">
        <w:rPr>
          <w:i/>
        </w:rPr>
        <w:t>Total flood volume in winter 2013/2014</w:t>
      </w:r>
      <w:r w:rsidR="00B43CB4">
        <w:rPr>
          <w:i/>
        </w:rPr>
        <w:t xml:space="preserve"> </w:t>
      </w:r>
      <w:r w:rsidR="00B43CB4">
        <w:t>(Table 14)</w:t>
      </w:r>
      <w:r>
        <w:rPr>
          <w:i/>
        </w:rPr>
        <w:t>.</w:t>
      </w:r>
      <w:r>
        <w:t xml:space="preserve"> GIS analysis of topographic data are used to construct a relationship between flood volume, flood extent and water </w:t>
      </w:r>
      <w:r w:rsidR="003053B1">
        <w:t>level</w:t>
      </w:r>
      <w:r>
        <w:t xml:space="preserve">. Water level records exist for various telemetered </w:t>
      </w:r>
      <w:r w:rsidR="003053B1">
        <w:t>gauges across the study area and flood extent has been estimated from remote sensing data captured on the 8</w:t>
      </w:r>
      <w:r w:rsidR="003053B1" w:rsidRPr="003053B1">
        <w:rPr>
          <w:vertAlign w:val="superscript"/>
        </w:rPr>
        <w:t>th</w:t>
      </w:r>
      <w:r w:rsidR="003053B1">
        <w:t xml:space="preserve"> of February 2014. By combining these pieces of information it is possible to estimate the total flood volume. </w:t>
      </w:r>
      <w:r w:rsidR="003301CA">
        <w:t xml:space="preserve">Data were not available </w:t>
      </w:r>
      <w:r w:rsidR="00A8079B">
        <w:t xml:space="preserve">for all WLMP areas and therefore results are only presented for a subset of WLMP areas. </w:t>
      </w:r>
    </w:p>
    <w:p w:rsidR="003053B1" w:rsidRPr="003053B1" w:rsidRDefault="003053B1" w:rsidP="009F7C44">
      <w:pPr>
        <w:jc w:val="both"/>
      </w:pPr>
      <w:r>
        <w:rPr>
          <w:i/>
        </w:rPr>
        <w:t>Total flood volume to lowest road</w:t>
      </w:r>
      <w:r w:rsidR="00B43CB4">
        <w:rPr>
          <w:i/>
        </w:rPr>
        <w:t xml:space="preserve"> </w:t>
      </w:r>
      <w:r w:rsidR="00B43CB4">
        <w:t>(Table 14)</w:t>
      </w:r>
      <w:r>
        <w:t xml:space="preserve">. Similar to the method outlined above, a GIS-derived relationship between flood volume and water level was used in combination with data on the elevation of roads in each WLMP area. The elevation of the lowest road was established and the corresponding flood volume estimated using the volume to water level relationship. </w:t>
      </w:r>
      <w:r w:rsidR="0008098C">
        <w:t xml:space="preserve">As above, </w:t>
      </w:r>
      <w:r w:rsidR="00A8079B">
        <w:t xml:space="preserve">results are only presented for </w:t>
      </w:r>
      <w:r w:rsidR="0008098C">
        <w:t>the</w:t>
      </w:r>
      <w:r w:rsidR="00A8079B">
        <w:t xml:space="preserve"> subset of WLMP areas</w:t>
      </w:r>
      <w:r w:rsidR="0008098C">
        <w:t xml:space="preserve"> where data exist</w:t>
      </w:r>
      <w:r w:rsidR="00A8079B">
        <w:t>.</w:t>
      </w:r>
    </w:p>
    <w:p w:rsidR="00407340" w:rsidRDefault="003301CA" w:rsidP="00B43CB4">
      <w:pPr>
        <w:jc w:val="both"/>
      </w:pPr>
      <w:r>
        <w:t xml:space="preserve">The volume to water level relationship was further used to estimate the change in level resulting from different storage volumes. The final </w:t>
      </w:r>
      <w:r w:rsidR="00A8079B">
        <w:t xml:space="preserve">set of </w:t>
      </w:r>
      <w:r>
        <w:t xml:space="preserve">calculations used data on the pumping capacity </w:t>
      </w:r>
      <w:r w:rsidR="00A8079B">
        <w:t xml:space="preserve">and used this to estimate the time taken to pump a volume of water equivalent to that occupied by seasonal water level management. </w:t>
      </w:r>
      <w:r w:rsidR="0008098C">
        <w:t>As above, results are only presented for the subset of WLMP areas where data exist.</w:t>
      </w:r>
    </w:p>
    <w:p w:rsidR="00B43CB4" w:rsidRDefault="00B43CB4" w:rsidP="007719E1">
      <w:pPr>
        <w:jc w:val="both"/>
      </w:pPr>
      <w:r>
        <w:t xml:space="preserve">An investigation of the impacts of uncertainty in the parameter values on calculation of </w:t>
      </w:r>
      <w:r w:rsidR="00BB088B">
        <w:t xml:space="preserve">total ditch </w:t>
      </w:r>
      <w:r>
        <w:t xml:space="preserve">storage volume is included later in this report (Figure 14). </w:t>
      </w:r>
    </w:p>
    <w:p w:rsidR="00B43CB4" w:rsidRDefault="00B43CB4">
      <w:pPr>
        <w:sectPr w:rsidR="00B43CB4" w:rsidSect="00545807">
          <w:pgSz w:w="11906" w:h="16838"/>
          <w:pgMar w:top="1440" w:right="1440" w:bottom="1440" w:left="1440" w:header="708" w:footer="708" w:gutter="0"/>
          <w:cols w:space="708"/>
          <w:docGrid w:linePitch="360"/>
        </w:sectPr>
      </w:pPr>
    </w:p>
    <w:p w:rsidR="00AD7758" w:rsidRPr="00AD7758" w:rsidRDefault="00AD7758" w:rsidP="00AD7758">
      <w:pPr>
        <w:pStyle w:val="Caption"/>
        <w:keepNext/>
        <w:rPr>
          <w:b w:val="0"/>
          <w:color w:val="auto"/>
          <w:sz w:val="22"/>
          <w:szCs w:val="22"/>
        </w:rPr>
      </w:pPr>
      <w:r w:rsidRPr="00AD7758">
        <w:rPr>
          <w:b w:val="0"/>
          <w:color w:val="auto"/>
          <w:sz w:val="22"/>
          <w:szCs w:val="22"/>
        </w:rPr>
        <w:lastRenderedPageBreak/>
        <w:t xml:space="preserve">Table </w:t>
      </w:r>
      <w:r w:rsidR="00251534" w:rsidRPr="00AD7758">
        <w:rPr>
          <w:b w:val="0"/>
          <w:color w:val="auto"/>
          <w:sz w:val="22"/>
          <w:szCs w:val="22"/>
        </w:rPr>
        <w:fldChar w:fldCharType="begin"/>
      </w:r>
      <w:r w:rsidRPr="00AD7758">
        <w:rPr>
          <w:b w:val="0"/>
          <w:color w:val="auto"/>
          <w:sz w:val="22"/>
          <w:szCs w:val="22"/>
        </w:rPr>
        <w:instrText xml:space="preserve"> SEQ Table \* ARABIC </w:instrText>
      </w:r>
      <w:r w:rsidR="00251534" w:rsidRPr="00AD7758">
        <w:rPr>
          <w:b w:val="0"/>
          <w:color w:val="auto"/>
          <w:sz w:val="22"/>
          <w:szCs w:val="22"/>
        </w:rPr>
        <w:fldChar w:fldCharType="separate"/>
      </w:r>
      <w:r w:rsidR="000E193B">
        <w:rPr>
          <w:b w:val="0"/>
          <w:noProof/>
          <w:color w:val="auto"/>
          <w:sz w:val="22"/>
          <w:szCs w:val="22"/>
        </w:rPr>
        <w:t>11</w:t>
      </w:r>
      <w:r w:rsidR="00251534" w:rsidRPr="00AD7758">
        <w:rPr>
          <w:b w:val="0"/>
          <w:color w:val="auto"/>
          <w:sz w:val="22"/>
          <w:szCs w:val="22"/>
        </w:rPr>
        <w:fldChar w:fldCharType="end"/>
      </w:r>
      <w:r w:rsidR="00F54328">
        <w:rPr>
          <w:b w:val="0"/>
          <w:color w:val="auto"/>
          <w:sz w:val="22"/>
          <w:szCs w:val="22"/>
        </w:rPr>
        <w:t>.</w:t>
      </w:r>
      <w:r w:rsidRPr="00AD7758">
        <w:rPr>
          <w:b w:val="0"/>
          <w:color w:val="auto"/>
          <w:sz w:val="22"/>
          <w:szCs w:val="22"/>
        </w:rPr>
        <w:t xml:space="preserve"> Summary r</w:t>
      </w:r>
      <w:r w:rsidR="00731978">
        <w:rPr>
          <w:b w:val="0"/>
          <w:color w:val="auto"/>
          <w:sz w:val="22"/>
          <w:szCs w:val="22"/>
        </w:rPr>
        <w:t xml:space="preserve">esults of </w:t>
      </w:r>
      <w:r w:rsidR="007719E1">
        <w:rPr>
          <w:b w:val="0"/>
          <w:color w:val="auto"/>
          <w:sz w:val="22"/>
          <w:szCs w:val="22"/>
        </w:rPr>
        <w:t xml:space="preserve">ditch </w:t>
      </w:r>
      <w:r w:rsidR="00731978">
        <w:rPr>
          <w:b w:val="0"/>
          <w:color w:val="auto"/>
          <w:sz w:val="22"/>
          <w:szCs w:val="22"/>
        </w:rPr>
        <w:t>storage calculations.</w:t>
      </w:r>
      <w:r w:rsidR="00731978" w:rsidRPr="00AD7758">
        <w:rPr>
          <w:b w:val="0"/>
          <w:color w:val="auto"/>
          <w:sz w:val="22"/>
          <w:szCs w:val="22"/>
        </w:rPr>
        <w:t xml:space="preserve"> In these calculations, the distance of influence was set to 9 m and the specific yield set to 0.2. </w:t>
      </w:r>
      <w:r w:rsidR="00731978">
        <w:rPr>
          <w:b w:val="0"/>
          <w:color w:val="auto"/>
          <w:sz w:val="22"/>
          <w:szCs w:val="22"/>
        </w:rPr>
        <w:t>Three situations are show: Winter ditch storage available under current conditions (this includes the current RWLA), the winter theoretical maximum ditch storage (</w:t>
      </w:r>
      <w:r w:rsidR="007A251A">
        <w:rPr>
          <w:b w:val="0"/>
          <w:color w:val="auto"/>
          <w:sz w:val="22"/>
          <w:szCs w:val="22"/>
        </w:rPr>
        <w:t>if there were no RWLA) and summer ditch storage.</w:t>
      </w:r>
      <w:r w:rsidR="00731978">
        <w:rPr>
          <w:b w:val="0"/>
          <w:color w:val="auto"/>
          <w:sz w:val="22"/>
          <w:szCs w:val="22"/>
        </w:rPr>
        <w:t xml:space="preserve"> </w:t>
      </w:r>
      <w:r w:rsidRPr="00AD7758">
        <w:rPr>
          <w:b w:val="0"/>
          <w:color w:val="auto"/>
          <w:sz w:val="22"/>
          <w:szCs w:val="22"/>
        </w:rPr>
        <w:t xml:space="preserve">Channel, soil and total </w:t>
      </w:r>
      <w:r w:rsidR="007719E1">
        <w:rPr>
          <w:b w:val="0"/>
          <w:color w:val="auto"/>
          <w:sz w:val="22"/>
          <w:szCs w:val="22"/>
        </w:rPr>
        <w:t xml:space="preserve">ditch </w:t>
      </w:r>
      <w:r w:rsidRPr="00AD7758">
        <w:rPr>
          <w:b w:val="0"/>
          <w:color w:val="auto"/>
          <w:sz w:val="22"/>
          <w:szCs w:val="22"/>
        </w:rPr>
        <w:t xml:space="preserve">storage volumes are given for each WLMP unit. </w:t>
      </w:r>
      <w:r w:rsidR="007A251A">
        <w:rPr>
          <w:b w:val="0"/>
          <w:color w:val="auto"/>
          <w:sz w:val="22"/>
          <w:szCs w:val="22"/>
        </w:rPr>
        <w:t>As previously defined, winter is the period from 1</w:t>
      </w:r>
      <w:r w:rsidR="007A251A" w:rsidRPr="007A251A">
        <w:rPr>
          <w:b w:val="0"/>
          <w:color w:val="auto"/>
          <w:sz w:val="22"/>
          <w:szCs w:val="22"/>
          <w:vertAlign w:val="superscript"/>
        </w:rPr>
        <w:t>st</w:t>
      </w:r>
      <w:r w:rsidR="007A251A">
        <w:rPr>
          <w:b w:val="0"/>
          <w:color w:val="auto"/>
          <w:sz w:val="22"/>
          <w:szCs w:val="22"/>
        </w:rPr>
        <w:t xml:space="preserve"> December 2013 to 28</w:t>
      </w:r>
      <w:r w:rsidR="007A251A" w:rsidRPr="007A251A">
        <w:rPr>
          <w:b w:val="0"/>
          <w:color w:val="auto"/>
          <w:sz w:val="22"/>
          <w:szCs w:val="22"/>
          <w:vertAlign w:val="superscript"/>
        </w:rPr>
        <w:t>th</w:t>
      </w:r>
      <w:r w:rsidR="007A251A">
        <w:rPr>
          <w:b w:val="0"/>
          <w:color w:val="auto"/>
          <w:sz w:val="22"/>
          <w:szCs w:val="22"/>
        </w:rPr>
        <w:t xml:space="preserve"> February 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1298"/>
        <w:gridCol w:w="1225"/>
        <w:gridCol w:w="1298"/>
        <w:gridCol w:w="1298"/>
        <w:gridCol w:w="1157"/>
        <w:gridCol w:w="1298"/>
        <w:gridCol w:w="1253"/>
        <w:gridCol w:w="1278"/>
        <w:gridCol w:w="1199"/>
      </w:tblGrid>
      <w:tr w:rsidR="00AD7758" w:rsidRPr="00AD7758" w:rsidTr="00AD7758">
        <w:trPr>
          <w:trHeight w:val="600"/>
        </w:trPr>
        <w:tc>
          <w:tcPr>
            <w:tcW w:w="1012" w:type="pct"/>
            <w:shd w:val="clear" w:color="auto" w:fill="auto"/>
            <w:noWrap/>
            <w:vAlign w:val="bottom"/>
            <w:hideMark/>
          </w:tcPr>
          <w:p w:rsidR="00AD7758" w:rsidRPr="00AD7758" w:rsidRDefault="00AD7758" w:rsidP="00AD7758">
            <w:pPr>
              <w:spacing w:after="0" w:line="240" w:lineRule="auto"/>
              <w:rPr>
                <w:rFonts w:eastAsia="Times New Roman" w:cs="Times New Roman"/>
                <w:color w:val="000000"/>
              </w:rPr>
            </w:pPr>
          </w:p>
        </w:tc>
        <w:tc>
          <w:tcPr>
            <w:tcW w:w="1348" w:type="pct"/>
            <w:gridSpan w:val="3"/>
            <w:shd w:val="clear" w:color="auto" w:fill="auto"/>
            <w:vAlign w:val="bottom"/>
            <w:hideMark/>
          </w:tcPr>
          <w:p w:rsidR="00AD7758" w:rsidRPr="00AD7758" w:rsidRDefault="00731978" w:rsidP="00731978">
            <w:pPr>
              <w:spacing w:after="0" w:line="240" w:lineRule="auto"/>
              <w:jc w:val="center"/>
              <w:rPr>
                <w:rFonts w:eastAsia="Times New Roman" w:cs="Arial"/>
                <w:b/>
                <w:color w:val="000000"/>
              </w:rPr>
            </w:pPr>
            <w:r>
              <w:rPr>
                <w:rFonts w:eastAsia="Times New Roman" w:cs="Arial"/>
                <w:b/>
                <w:color w:val="000000"/>
              </w:rPr>
              <w:t>Winter d</w:t>
            </w:r>
            <w:r w:rsidR="00AD7758" w:rsidRPr="00AD7758">
              <w:rPr>
                <w:rFonts w:eastAsia="Times New Roman" w:cs="Arial"/>
                <w:b/>
                <w:color w:val="000000"/>
              </w:rPr>
              <w:t>itch storage available under current conditions (m</w:t>
            </w:r>
            <w:r w:rsidR="00AD7758" w:rsidRPr="00AD7758">
              <w:rPr>
                <w:rFonts w:eastAsia="Times New Roman" w:cs="Arial"/>
                <w:b/>
                <w:color w:val="000000"/>
                <w:vertAlign w:val="superscript"/>
              </w:rPr>
              <w:t>3</w:t>
            </w:r>
            <w:r w:rsidR="00AD7758" w:rsidRPr="00AD7758">
              <w:rPr>
                <w:rFonts w:eastAsia="Times New Roman" w:cs="Arial"/>
                <w:b/>
                <w:color w:val="000000"/>
              </w:rPr>
              <w:t>)</w:t>
            </w:r>
          </w:p>
        </w:tc>
        <w:tc>
          <w:tcPr>
            <w:tcW w:w="1324" w:type="pct"/>
            <w:gridSpan w:val="3"/>
            <w:shd w:val="clear" w:color="auto" w:fill="auto"/>
            <w:vAlign w:val="bottom"/>
            <w:hideMark/>
          </w:tcPr>
          <w:p w:rsidR="00AD7758" w:rsidRPr="00AD7758" w:rsidRDefault="00731978" w:rsidP="00AD7758">
            <w:pPr>
              <w:spacing w:after="0" w:line="240" w:lineRule="auto"/>
              <w:jc w:val="center"/>
              <w:rPr>
                <w:rFonts w:eastAsia="Times New Roman" w:cs="Times New Roman"/>
                <w:b/>
                <w:color w:val="000000"/>
              </w:rPr>
            </w:pPr>
            <w:r>
              <w:rPr>
                <w:rFonts w:eastAsia="Times New Roman" w:cs="Times New Roman"/>
                <w:b/>
                <w:color w:val="000000"/>
              </w:rPr>
              <w:t>Winter t</w:t>
            </w:r>
            <w:r w:rsidR="00AD7758" w:rsidRPr="00AD7758">
              <w:rPr>
                <w:rFonts w:eastAsia="Times New Roman" w:cs="Times New Roman"/>
                <w:b/>
                <w:color w:val="000000"/>
              </w:rPr>
              <w:t xml:space="preserve">heoretical maximum ditch storage </w:t>
            </w:r>
            <w:r w:rsidR="00AD7758" w:rsidRPr="00AD7758">
              <w:rPr>
                <w:rFonts w:eastAsia="Times New Roman" w:cs="Arial"/>
                <w:b/>
                <w:color w:val="000000"/>
              </w:rPr>
              <w:t>(m</w:t>
            </w:r>
            <w:r w:rsidR="00AD7758" w:rsidRPr="00AD7758">
              <w:rPr>
                <w:rFonts w:eastAsia="Times New Roman" w:cs="Arial"/>
                <w:b/>
                <w:color w:val="000000"/>
                <w:vertAlign w:val="superscript"/>
              </w:rPr>
              <w:t>3</w:t>
            </w:r>
            <w:r w:rsidR="00AD7758" w:rsidRPr="00AD7758">
              <w:rPr>
                <w:rFonts w:eastAsia="Times New Roman" w:cs="Arial"/>
                <w:b/>
                <w:color w:val="000000"/>
              </w:rPr>
              <w:t>)</w:t>
            </w:r>
          </w:p>
        </w:tc>
        <w:tc>
          <w:tcPr>
            <w:tcW w:w="1316" w:type="pct"/>
            <w:gridSpan w:val="3"/>
            <w:shd w:val="clear" w:color="auto" w:fill="auto"/>
            <w:vAlign w:val="bottom"/>
            <w:hideMark/>
          </w:tcPr>
          <w:p w:rsidR="00AD7758" w:rsidRPr="00AD7758" w:rsidRDefault="00731978" w:rsidP="00731978">
            <w:pPr>
              <w:spacing w:after="0" w:line="240" w:lineRule="auto"/>
              <w:jc w:val="center"/>
              <w:rPr>
                <w:rFonts w:eastAsia="Times New Roman" w:cs="Times New Roman"/>
                <w:b/>
                <w:color w:val="000000"/>
              </w:rPr>
            </w:pPr>
            <w:r>
              <w:rPr>
                <w:rFonts w:eastAsia="Times New Roman" w:cs="Times New Roman"/>
                <w:b/>
                <w:color w:val="000000"/>
              </w:rPr>
              <w:t xml:space="preserve">Summer ditch storage </w:t>
            </w:r>
            <w:r w:rsidR="00AD7758" w:rsidRPr="00AD7758">
              <w:rPr>
                <w:rFonts w:eastAsia="Times New Roman" w:cs="Arial"/>
                <w:b/>
                <w:color w:val="000000"/>
              </w:rPr>
              <w:t>(m</w:t>
            </w:r>
            <w:r w:rsidR="00AD7758" w:rsidRPr="00AD7758">
              <w:rPr>
                <w:rFonts w:eastAsia="Times New Roman" w:cs="Arial"/>
                <w:b/>
                <w:color w:val="000000"/>
                <w:vertAlign w:val="superscript"/>
              </w:rPr>
              <w:t>3</w:t>
            </w:r>
            <w:r w:rsidR="00AD7758" w:rsidRPr="00AD7758">
              <w:rPr>
                <w:rFonts w:eastAsia="Times New Roman" w:cs="Arial"/>
                <w:b/>
                <w:color w:val="000000"/>
              </w:rPr>
              <w:t>)</w:t>
            </w:r>
          </w:p>
        </w:tc>
      </w:tr>
      <w:tr w:rsidR="00AD7758" w:rsidRPr="00AD7758" w:rsidTr="00AD7758">
        <w:trPr>
          <w:trHeight w:val="900"/>
        </w:trPr>
        <w:tc>
          <w:tcPr>
            <w:tcW w:w="1012" w:type="pct"/>
            <w:shd w:val="clear" w:color="auto" w:fill="auto"/>
            <w:noWrap/>
            <w:vAlign w:val="bottom"/>
            <w:hideMark/>
          </w:tcPr>
          <w:p w:rsidR="00AD7758" w:rsidRPr="00AD7758" w:rsidRDefault="00AD7758" w:rsidP="00AD7758">
            <w:pPr>
              <w:spacing w:after="0" w:line="240" w:lineRule="auto"/>
              <w:rPr>
                <w:rFonts w:eastAsia="Times New Roman" w:cs="Times New Roman"/>
                <w:b/>
                <w:bCs/>
                <w:color w:val="000000"/>
              </w:rPr>
            </w:pPr>
            <w:r>
              <w:rPr>
                <w:rFonts w:eastAsia="Times New Roman" w:cs="Times New Roman"/>
                <w:b/>
                <w:bCs/>
                <w:color w:val="000000"/>
              </w:rPr>
              <w:t>WLMP Area</w:t>
            </w:r>
          </w:p>
        </w:tc>
        <w:tc>
          <w:tcPr>
            <w:tcW w:w="458" w:type="pct"/>
            <w:shd w:val="clear" w:color="auto" w:fill="auto"/>
            <w:vAlign w:val="bottom"/>
            <w:hideMark/>
          </w:tcPr>
          <w:p w:rsidR="00BB088B" w:rsidRPr="00AD7758" w:rsidRDefault="00AD7758" w:rsidP="00AD7758">
            <w:pPr>
              <w:spacing w:after="0" w:line="240" w:lineRule="auto"/>
              <w:rPr>
                <w:rFonts w:eastAsia="Times New Roman" w:cs="Arial"/>
                <w:b/>
                <w:color w:val="000000"/>
              </w:rPr>
            </w:pPr>
            <w:r w:rsidRPr="00AD7758">
              <w:rPr>
                <w:rFonts w:eastAsia="Times New Roman" w:cs="Arial"/>
                <w:b/>
                <w:color w:val="000000"/>
              </w:rPr>
              <w:t>Channel storage</w:t>
            </w:r>
          </w:p>
        </w:tc>
        <w:tc>
          <w:tcPr>
            <w:tcW w:w="432" w:type="pct"/>
            <w:shd w:val="clear" w:color="auto" w:fill="auto"/>
            <w:vAlign w:val="bottom"/>
            <w:hideMark/>
          </w:tcPr>
          <w:p w:rsidR="00AD7758" w:rsidRPr="00AD7758" w:rsidRDefault="00AD7758" w:rsidP="00AD7758">
            <w:pPr>
              <w:spacing w:after="0" w:line="240" w:lineRule="auto"/>
              <w:rPr>
                <w:rFonts w:eastAsia="Times New Roman" w:cs="Times New Roman"/>
                <w:b/>
                <w:color w:val="000000"/>
              </w:rPr>
            </w:pPr>
            <w:r w:rsidRPr="00AD7758">
              <w:rPr>
                <w:rFonts w:eastAsia="Times New Roman" w:cs="Times New Roman"/>
                <w:b/>
                <w:color w:val="000000"/>
              </w:rPr>
              <w:t>Soil storage</w:t>
            </w:r>
          </w:p>
        </w:tc>
        <w:tc>
          <w:tcPr>
            <w:tcW w:w="458" w:type="pct"/>
            <w:shd w:val="clear" w:color="auto" w:fill="auto"/>
            <w:vAlign w:val="bottom"/>
            <w:hideMark/>
          </w:tcPr>
          <w:p w:rsidR="00AD7758" w:rsidRPr="00AD7758" w:rsidRDefault="00AD7758" w:rsidP="00AD7758">
            <w:pPr>
              <w:spacing w:after="0" w:line="240" w:lineRule="auto"/>
              <w:rPr>
                <w:rFonts w:eastAsia="Times New Roman" w:cs="Times New Roman"/>
                <w:b/>
                <w:color w:val="000000"/>
              </w:rPr>
            </w:pPr>
            <w:r w:rsidRPr="00AD7758">
              <w:rPr>
                <w:rFonts w:eastAsia="Times New Roman" w:cs="Times New Roman"/>
                <w:b/>
                <w:color w:val="000000"/>
              </w:rPr>
              <w:t>Total ditch storage</w:t>
            </w:r>
          </w:p>
        </w:tc>
        <w:tc>
          <w:tcPr>
            <w:tcW w:w="458" w:type="pct"/>
            <w:shd w:val="clear" w:color="auto" w:fill="auto"/>
            <w:vAlign w:val="bottom"/>
            <w:hideMark/>
          </w:tcPr>
          <w:p w:rsidR="00AD7758" w:rsidRPr="00AD7758" w:rsidRDefault="00AD7758" w:rsidP="00AD7758">
            <w:pPr>
              <w:spacing w:after="0" w:line="240" w:lineRule="auto"/>
              <w:rPr>
                <w:rFonts w:eastAsia="Times New Roman" w:cs="Arial"/>
                <w:b/>
                <w:color w:val="000000"/>
              </w:rPr>
            </w:pPr>
            <w:r w:rsidRPr="00AD7758">
              <w:rPr>
                <w:rFonts w:eastAsia="Times New Roman" w:cs="Arial"/>
                <w:b/>
                <w:color w:val="000000"/>
              </w:rPr>
              <w:t>Channel storage</w:t>
            </w:r>
          </w:p>
        </w:tc>
        <w:tc>
          <w:tcPr>
            <w:tcW w:w="408" w:type="pct"/>
            <w:shd w:val="clear" w:color="auto" w:fill="auto"/>
            <w:vAlign w:val="bottom"/>
            <w:hideMark/>
          </w:tcPr>
          <w:p w:rsidR="00AD7758" w:rsidRPr="00AD7758" w:rsidRDefault="00AD7758" w:rsidP="00AD7758">
            <w:pPr>
              <w:spacing w:after="0" w:line="240" w:lineRule="auto"/>
              <w:rPr>
                <w:rFonts w:eastAsia="Times New Roman" w:cs="Times New Roman"/>
                <w:b/>
                <w:color w:val="000000"/>
              </w:rPr>
            </w:pPr>
            <w:r w:rsidRPr="00AD7758">
              <w:rPr>
                <w:rFonts w:eastAsia="Times New Roman" w:cs="Times New Roman"/>
                <w:b/>
                <w:color w:val="000000"/>
              </w:rPr>
              <w:t>Soil storage</w:t>
            </w:r>
          </w:p>
        </w:tc>
        <w:tc>
          <w:tcPr>
            <w:tcW w:w="458" w:type="pct"/>
            <w:shd w:val="clear" w:color="auto" w:fill="auto"/>
            <w:vAlign w:val="bottom"/>
            <w:hideMark/>
          </w:tcPr>
          <w:p w:rsidR="00AD7758" w:rsidRPr="00AD7758" w:rsidRDefault="00AD7758" w:rsidP="00AD7758">
            <w:pPr>
              <w:spacing w:after="0" w:line="240" w:lineRule="auto"/>
              <w:rPr>
                <w:rFonts w:eastAsia="Times New Roman" w:cs="Times New Roman"/>
                <w:b/>
                <w:color w:val="000000"/>
              </w:rPr>
            </w:pPr>
            <w:r w:rsidRPr="00AD7758">
              <w:rPr>
                <w:rFonts w:eastAsia="Times New Roman" w:cs="Times New Roman"/>
                <w:b/>
                <w:color w:val="000000"/>
              </w:rPr>
              <w:t>Total ditch storage</w:t>
            </w:r>
          </w:p>
        </w:tc>
        <w:tc>
          <w:tcPr>
            <w:tcW w:w="442" w:type="pct"/>
            <w:shd w:val="clear" w:color="auto" w:fill="auto"/>
            <w:vAlign w:val="bottom"/>
            <w:hideMark/>
          </w:tcPr>
          <w:p w:rsidR="00AD7758" w:rsidRPr="00AD7758" w:rsidRDefault="00AD7758" w:rsidP="00AD7758">
            <w:pPr>
              <w:spacing w:after="0" w:line="240" w:lineRule="auto"/>
              <w:rPr>
                <w:rFonts w:eastAsia="Times New Roman" w:cs="Arial"/>
                <w:b/>
                <w:color w:val="000000"/>
              </w:rPr>
            </w:pPr>
            <w:r w:rsidRPr="00AD7758">
              <w:rPr>
                <w:rFonts w:eastAsia="Times New Roman" w:cs="Arial"/>
                <w:b/>
                <w:color w:val="000000"/>
              </w:rPr>
              <w:t>Channel storage</w:t>
            </w:r>
          </w:p>
        </w:tc>
        <w:tc>
          <w:tcPr>
            <w:tcW w:w="451" w:type="pct"/>
            <w:shd w:val="clear" w:color="auto" w:fill="auto"/>
            <w:vAlign w:val="bottom"/>
            <w:hideMark/>
          </w:tcPr>
          <w:p w:rsidR="00AD7758" w:rsidRPr="00AD7758" w:rsidRDefault="00AD7758" w:rsidP="00AD7758">
            <w:pPr>
              <w:spacing w:after="0" w:line="240" w:lineRule="auto"/>
              <w:rPr>
                <w:rFonts w:eastAsia="Times New Roman" w:cs="Times New Roman"/>
                <w:b/>
                <w:color w:val="000000"/>
              </w:rPr>
            </w:pPr>
            <w:r w:rsidRPr="00AD7758">
              <w:rPr>
                <w:rFonts w:eastAsia="Times New Roman" w:cs="Times New Roman"/>
                <w:b/>
                <w:color w:val="000000"/>
              </w:rPr>
              <w:t>Soil storage</w:t>
            </w:r>
          </w:p>
        </w:tc>
        <w:tc>
          <w:tcPr>
            <w:tcW w:w="423" w:type="pct"/>
            <w:shd w:val="clear" w:color="auto" w:fill="auto"/>
            <w:vAlign w:val="bottom"/>
            <w:hideMark/>
          </w:tcPr>
          <w:p w:rsidR="00AD7758" w:rsidRPr="00AD7758" w:rsidRDefault="00AD7758" w:rsidP="00AD7758">
            <w:pPr>
              <w:spacing w:after="0" w:line="240" w:lineRule="auto"/>
              <w:rPr>
                <w:rFonts w:eastAsia="Times New Roman" w:cs="Times New Roman"/>
                <w:b/>
                <w:color w:val="000000"/>
              </w:rPr>
            </w:pPr>
            <w:r w:rsidRPr="00AD7758">
              <w:rPr>
                <w:rFonts w:eastAsia="Times New Roman" w:cs="Times New Roman"/>
                <w:b/>
                <w:color w:val="000000"/>
              </w:rPr>
              <w:t>Total ditch storage</w:t>
            </w:r>
          </w:p>
        </w:tc>
      </w:tr>
      <w:tr w:rsidR="00AD7758" w:rsidRPr="00AD7758" w:rsidTr="00AD7758">
        <w:trPr>
          <w:trHeight w:val="510"/>
        </w:trPr>
        <w:tc>
          <w:tcPr>
            <w:tcW w:w="1012" w:type="pct"/>
            <w:shd w:val="clear" w:color="auto" w:fill="auto"/>
            <w:noWrap/>
            <w:vAlign w:val="bottom"/>
            <w:hideMark/>
          </w:tcPr>
          <w:p w:rsidR="00AD7758" w:rsidRPr="00AD7758" w:rsidRDefault="00AD7758" w:rsidP="00AD7758">
            <w:pPr>
              <w:spacing w:after="0" w:line="240" w:lineRule="auto"/>
              <w:rPr>
                <w:rFonts w:eastAsia="Times New Roman" w:cs="Arial"/>
                <w:b/>
                <w:bCs/>
                <w:color w:val="000000"/>
              </w:rPr>
            </w:pPr>
            <w:r w:rsidRPr="00AD7758">
              <w:rPr>
                <w:rFonts w:eastAsia="Times New Roman" w:cs="Arial"/>
                <w:b/>
                <w:bCs/>
                <w:color w:val="000000"/>
              </w:rPr>
              <w:t>Allermoor</w:t>
            </w:r>
          </w:p>
        </w:tc>
        <w:tc>
          <w:tcPr>
            <w:tcW w:w="458" w:type="pct"/>
            <w:shd w:val="clear" w:color="auto" w:fill="auto"/>
            <w:vAlign w:val="bottom"/>
            <w:hideMark/>
          </w:tcPr>
          <w:p w:rsidR="00AD7758" w:rsidRPr="00AD7758" w:rsidRDefault="00AD7758" w:rsidP="00AD7758">
            <w:pPr>
              <w:spacing w:after="0" w:line="240" w:lineRule="auto"/>
              <w:jc w:val="right"/>
              <w:rPr>
                <w:rFonts w:eastAsia="Times New Roman" w:cs="Arial"/>
                <w:color w:val="000000"/>
              </w:rPr>
            </w:pPr>
            <w:r w:rsidRPr="00AD7758">
              <w:rPr>
                <w:rFonts w:eastAsia="Times New Roman" w:cs="Arial"/>
                <w:color w:val="000000"/>
              </w:rPr>
              <w:t>263280</w:t>
            </w:r>
          </w:p>
        </w:tc>
        <w:tc>
          <w:tcPr>
            <w:tcW w:w="432"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128844</w:t>
            </w:r>
          </w:p>
        </w:tc>
        <w:tc>
          <w:tcPr>
            <w:tcW w:w="45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392124</w:t>
            </w:r>
          </w:p>
        </w:tc>
        <w:tc>
          <w:tcPr>
            <w:tcW w:w="45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267060</w:t>
            </w:r>
          </w:p>
        </w:tc>
        <w:tc>
          <w:tcPr>
            <w:tcW w:w="40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131112</w:t>
            </w:r>
          </w:p>
        </w:tc>
        <w:tc>
          <w:tcPr>
            <w:tcW w:w="458" w:type="pct"/>
            <w:shd w:val="clear" w:color="auto" w:fill="auto"/>
            <w:vAlign w:val="bottom"/>
            <w:hideMark/>
          </w:tcPr>
          <w:p w:rsidR="00AD7758" w:rsidRPr="00AD7758" w:rsidRDefault="00AD7758" w:rsidP="00AD7758">
            <w:pPr>
              <w:spacing w:after="0" w:line="240" w:lineRule="auto"/>
              <w:jc w:val="right"/>
              <w:rPr>
                <w:rFonts w:eastAsia="Times New Roman" w:cs="Arial"/>
                <w:color w:val="000000"/>
              </w:rPr>
            </w:pPr>
            <w:r w:rsidRPr="00AD7758">
              <w:rPr>
                <w:rFonts w:eastAsia="Times New Roman" w:cs="Arial"/>
                <w:color w:val="000000"/>
              </w:rPr>
              <w:t>398172</w:t>
            </w:r>
          </w:p>
        </w:tc>
        <w:tc>
          <w:tcPr>
            <w:tcW w:w="442"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133530</w:t>
            </w:r>
          </w:p>
        </w:tc>
        <w:tc>
          <w:tcPr>
            <w:tcW w:w="451"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65556</w:t>
            </w:r>
          </w:p>
        </w:tc>
        <w:tc>
          <w:tcPr>
            <w:tcW w:w="423"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199086</w:t>
            </w:r>
          </w:p>
        </w:tc>
      </w:tr>
      <w:tr w:rsidR="00AD7758" w:rsidRPr="00AD7758" w:rsidTr="00AD7758">
        <w:trPr>
          <w:trHeight w:val="510"/>
        </w:trPr>
        <w:tc>
          <w:tcPr>
            <w:tcW w:w="1012" w:type="pct"/>
            <w:shd w:val="clear" w:color="auto" w:fill="auto"/>
            <w:noWrap/>
            <w:vAlign w:val="bottom"/>
            <w:hideMark/>
          </w:tcPr>
          <w:p w:rsidR="00AD7758" w:rsidRPr="00AD7758" w:rsidRDefault="00AD7758" w:rsidP="00AD7758">
            <w:pPr>
              <w:spacing w:after="0" w:line="240" w:lineRule="auto"/>
              <w:rPr>
                <w:rFonts w:eastAsia="Times New Roman" w:cs="Arial"/>
                <w:b/>
                <w:bCs/>
                <w:color w:val="000000"/>
              </w:rPr>
            </w:pPr>
            <w:r w:rsidRPr="00AD7758">
              <w:rPr>
                <w:rFonts w:eastAsia="Times New Roman" w:cs="Arial"/>
                <w:b/>
                <w:bCs/>
                <w:color w:val="000000"/>
              </w:rPr>
              <w:t>Brue Valley North</w:t>
            </w:r>
          </w:p>
        </w:tc>
        <w:tc>
          <w:tcPr>
            <w:tcW w:w="458" w:type="pct"/>
            <w:shd w:val="clear" w:color="auto" w:fill="auto"/>
            <w:vAlign w:val="bottom"/>
            <w:hideMark/>
          </w:tcPr>
          <w:p w:rsidR="00AD7758" w:rsidRPr="00AD7758" w:rsidRDefault="00AD7758" w:rsidP="00AD7758">
            <w:pPr>
              <w:spacing w:after="0" w:line="240" w:lineRule="auto"/>
              <w:jc w:val="right"/>
              <w:rPr>
                <w:rFonts w:eastAsia="Times New Roman" w:cs="Arial"/>
                <w:color w:val="000000"/>
              </w:rPr>
            </w:pPr>
            <w:r w:rsidRPr="00AD7758">
              <w:rPr>
                <w:rFonts w:eastAsia="Times New Roman" w:cs="Arial"/>
                <w:color w:val="000000"/>
              </w:rPr>
              <w:t>768240</w:t>
            </w:r>
          </w:p>
        </w:tc>
        <w:tc>
          <w:tcPr>
            <w:tcW w:w="432"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407052</w:t>
            </w:r>
          </w:p>
        </w:tc>
        <w:tc>
          <w:tcPr>
            <w:tcW w:w="45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1175292</w:t>
            </w:r>
          </w:p>
        </w:tc>
        <w:tc>
          <w:tcPr>
            <w:tcW w:w="45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805260</w:t>
            </w:r>
          </w:p>
        </w:tc>
        <w:tc>
          <w:tcPr>
            <w:tcW w:w="40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428436</w:t>
            </w:r>
          </w:p>
        </w:tc>
        <w:tc>
          <w:tcPr>
            <w:tcW w:w="458" w:type="pct"/>
            <w:shd w:val="clear" w:color="auto" w:fill="auto"/>
            <w:vAlign w:val="bottom"/>
            <w:hideMark/>
          </w:tcPr>
          <w:p w:rsidR="00AD7758" w:rsidRPr="00AD7758" w:rsidRDefault="00AD7758" w:rsidP="00AD7758">
            <w:pPr>
              <w:spacing w:after="0" w:line="240" w:lineRule="auto"/>
              <w:jc w:val="right"/>
              <w:rPr>
                <w:rFonts w:eastAsia="Times New Roman" w:cs="Arial"/>
                <w:color w:val="000000"/>
              </w:rPr>
            </w:pPr>
            <w:r w:rsidRPr="00AD7758">
              <w:rPr>
                <w:rFonts w:eastAsia="Times New Roman" w:cs="Arial"/>
                <w:color w:val="000000"/>
              </w:rPr>
              <w:t>1233696</w:t>
            </w:r>
          </w:p>
        </w:tc>
        <w:tc>
          <w:tcPr>
            <w:tcW w:w="442"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402630</w:t>
            </w:r>
          </w:p>
        </w:tc>
        <w:tc>
          <w:tcPr>
            <w:tcW w:w="451"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214218</w:t>
            </w:r>
          </w:p>
        </w:tc>
        <w:tc>
          <w:tcPr>
            <w:tcW w:w="423"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616848</w:t>
            </w:r>
          </w:p>
        </w:tc>
      </w:tr>
      <w:tr w:rsidR="00AD7758" w:rsidRPr="00AD7758" w:rsidTr="00AD7758">
        <w:trPr>
          <w:trHeight w:val="510"/>
        </w:trPr>
        <w:tc>
          <w:tcPr>
            <w:tcW w:w="1012" w:type="pct"/>
            <w:shd w:val="clear" w:color="auto" w:fill="auto"/>
            <w:noWrap/>
            <w:vAlign w:val="bottom"/>
            <w:hideMark/>
          </w:tcPr>
          <w:p w:rsidR="00AD7758" w:rsidRPr="00AD7758" w:rsidRDefault="00AD7758" w:rsidP="00AD7758">
            <w:pPr>
              <w:spacing w:after="0" w:line="240" w:lineRule="auto"/>
              <w:rPr>
                <w:rFonts w:eastAsia="Times New Roman" w:cs="Arial"/>
                <w:b/>
                <w:bCs/>
                <w:color w:val="000000"/>
              </w:rPr>
            </w:pPr>
            <w:r w:rsidRPr="00AD7758">
              <w:rPr>
                <w:rFonts w:eastAsia="Times New Roman" w:cs="Arial"/>
                <w:b/>
                <w:bCs/>
                <w:color w:val="000000"/>
              </w:rPr>
              <w:t>Brue Valley South</w:t>
            </w:r>
          </w:p>
        </w:tc>
        <w:tc>
          <w:tcPr>
            <w:tcW w:w="458" w:type="pct"/>
            <w:shd w:val="clear" w:color="auto" w:fill="auto"/>
            <w:vAlign w:val="bottom"/>
            <w:hideMark/>
          </w:tcPr>
          <w:p w:rsidR="00AD7758" w:rsidRPr="00AD7758" w:rsidRDefault="00AD7758" w:rsidP="00AD7758">
            <w:pPr>
              <w:spacing w:after="0" w:line="240" w:lineRule="auto"/>
              <w:jc w:val="right"/>
              <w:rPr>
                <w:rFonts w:eastAsia="Times New Roman" w:cs="Arial"/>
                <w:color w:val="000000"/>
              </w:rPr>
            </w:pPr>
            <w:r w:rsidRPr="00AD7758">
              <w:rPr>
                <w:rFonts w:eastAsia="Times New Roman" w:cs="Arial"/>
                <w:color w:val="000000"/>
              </w:rPr>
              <w:t>984390</w:t>
            </w:r>
          </w:p>
        </w:tc>
        <w:tc>
          <w:tcPr>
            <w:tcW w:w="432"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550368</w:t>
            </w:r>
          </w:p>
        </w:tc>
        <w:tc>
          <w:tcPr>
            <w:tcW w:w="45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1534758</w:t>
            </w:r>
          </w:p>
        </w:tc>
        <w:tc>
          <w:tcPr>
            <w:tcW w:w="45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1038690</w:t>
            </w:r>
          </w:p>
        </w:tc>
        <w:tc>
          <w:tcPr>
            <w:tcW w:w="40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582660</w:t>
            </w:r>
          </w:p>
        </w:tc>
        <w:tc>
          <w:tcPr>
            <w:tcW w:w="458" w:type="pct"/>
            <w:shd w:val="clear" w:color="auto" w:fill="auto"/>
            <w:vAlign w:val="bottom"/>
            <w:hideMark/>
          </w:tcPr>
          <w:p w:rsidR="00AD7758" w:rsidRPr="00AD7758" w:rsidRDefault="00AD7758" w:rsidP="00AD7758">
            <w:pPr>
              <w:spacing w:after="0" w:line="240" w:lineRule="auto"/>
              <w:jc w:val="right"/>
              <w:rPr>
                <w:rFonts w:eastAsia="Times New Roman" w:cs="Arial"/>
                <w:color w:val="000000"/>
              </w:rPr>
            </w:pPr>
            <w:r w:rsidRPr="00AD7758">
              <w:rPr>
                <w:rFonts w:eastAsia="Times New Roman" w:cs="Arial"/>
                <w:color w:val="000000"/>
              </w:rPr>
              <w:t>1621350</w:t>
            </w:r>
          </w:p>
        </w:tc>
        <w:tc>
          <w:tcPr>
            <w:tcW w:w="442"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519345</w:t>
            </w:r>
          </w:p>
        </w:tc>
        <w:tc>
          <w:tcPr>
            <w:tcW w:w="451"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291330</w:t>
            </w:r>
          </w:p>
        </w:tc>
        <w:tc>
          <w:tcPr>
            <w:tcW w:w="423"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810675</w:t>
            </w:r>
          </w:p>
        </w:tc>
      </w:tr>
      <w:tr w:rsidR="00AD7758" w:rsidRPr="00AD7758" w:rsidTr="00AD7758">
        <w:trPr>
          <w:trHeight w:val="510"/>
        </w:trPr>
        <w:tc>
          <w:tcPr>
            <w:tcW w:w="1012" w:type="pct"/>
            <w:shd w:val="clear" w:color="auto" w:fill="auto"/>
            <w:noWrap/>
            <w:vAlign w:val="bottom"/>
            <w:hideMark/>
          </w:tcPr>
          <w:p w:rsidR="00AD7758" w:rsidRPr="00AD7758" w:rsidRDefault="00AD7758" w:rsidP="00AD7758">
            <w:pPr>
              <w:spacing w:after="0" w:line="240" w:lineRule="auto"/>
              <w:rPr>
                <w:rFonts w:eastAsia="Times New Roman" w:cs="Arial"/>
                <w:b/>
                <w:bCs/>
                <w:color w:val="000000"/>
              </w:rPr>
            </w:pPr>
            <w:r w:rsidRPr="00AD7758">
              <w:rPr>
                <w:rFonts w:eastAsia="Times New Roman" w:cs="Arial"/>
                <w:b/>
                <w:bCs/>
                <w:color w:val="000000"/>
              </w:rPr>
              <w:t>Curry Moor</w:t>
            </w:r>
          </w:p>
        </w:tc>
        <w:tc>
          <w:tcPr>
            <w:tcW w:w="458" w:type="pct"/>
            <w:shd w:val="clear" w:color="auto" w:fill="auto"/>
            <w:vAlign w:val="bottom"/>
            <w:hideMark/>
          </w:tcPr>
          <w:p w:rsidR="00AD7758" w:rsidRPr="00AD7758" w:rsidRDefault="00AD7758" w:rsidP="00AD7758">
            <w:pPr>
              <w:spacing w:after="0" w:line="240" w:lineRule="auto"/>
              <w:jc w:val="right"/>
              <w:rPr>
                <w:rFonts w:eastAsia="Times New Roman" w:cs="Arial"/>
                <w:color w:val="000000"/>
              </w:rPr>
            </w:pPr>
            <w:r w:rsidRPr="00AD7758">
              <w:rPr>
                <w:rFonts w:eastAsia="Times New Roman" w:cs="Arial"/>
                <w:color w:val="000000"/>
              </w:rPr>
              <w:t>237000</w:t>
            </w:r>
          </w:p>
        </w:tc>
        <w:tc>
          <w:tcPr>
            <w:tcW w:w="432"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115560</w:t>
            </w:r>
          </w:p>
        </w:tc>
        <w:tc>
          <w:tcPr>
            <w:tcW w:w="45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352560</w:t>
            </w:r>
          </w:p>
        </w:tc>
        <w:tc>
          <w:tcPr>
            <w:tcW w:w="45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238260</w:t>
            </w:r>
          </w:p>
        </w:tc>
        <w:tc>
          <w:tcPr>
            <w:tcW w:w="40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116316</w:t>
            </w:r>
          </w:p>
        </w:tc>
        <w:tc>
          <w:tcPr>
            <w:tcW w:w="458" w:type="pct"/>
            <w:shd w:val="clear" w:color="auto" w:fill="auto"/>
            <w:vAlign w:val="bottom"/>
            <w:hideMark/>
          </w:tcPr>
          <w:p w:rsidR="00AD7758" w:rsidRPr="00AD7758" w:rsidRDefault="00AD7758" w:rsidP="00AD7758">
            <w:pPr>
              <w:spacing w:after="0" w:line="240" w:lineRule="auto"/>
              <w:jc w:val="right"/>
              <w:rPr>
                <w:rFonts w:eastAsia="Times New Roman" w:cs="Arial"/>
                <w:color w:val="000000"/>
              </w:rPr>
            </w:pPr>
            <w:r w:rsidRPr="00AD7758">
              <w:rPr>
                <w:rFonts w:eastAsia="Times New Roman" w:cs="Arial"/>
                <w:color w:val="000000"/>
              </w:rPr>
              <w:t>354576</w:t>
            </w:r>
          </w:p>
        </w:tc>
        <w:tc>
          <w:tcPr>
            <w:tcW w:w="442"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119130</w:t>
            </w:r>
          </w:p>
        </w:tc>
        <w:tc>
          <w:tcPr>
            <w:tcW w:w="451"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58158</w:t>
            </w:r>
          </w:p>
        </w:tc>
        <w:tc>
          <w:tcPr>
            <w:tcW w:w="423"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177288</w:t>
            </w:r>
          </w:p>
        </w:tc>
      </w:tr>
      <w:tr w:rsidR="00AD7758" w:rsidRPr="00AD7758" w:rsidTr="00AD7758">
        <w:trPr>
          <w:trHeight w:val="510"/>
        </w:trPr>
        <w:tc>
          <w:tcPr>
            <w:tcW w:w="1012" w:type="pct"/>
            <w:shd w:val="clear" w:color="auto" w:fill="auto"/>
            <w:noWrap/>
            <w:vAlign w:val="bottom"/>
            <w:hideMark/>
          </w:tcPr>
          <w:p w:rsidR="00AD7758" w:rsidRPr="00AD7758" w:rsidRDefault="00AD7758" w:rsidP="00AD7758">
            <w:pPr>
              <w:spacing w:after="0" w:line="240" w:lineRule="auto"/>
              <w:rPr>
                <w:rFonts w:eastAsia="Times New Roman" w:cs="Arial"/>
                <w:b/>
                <w:bCs/>
                <w:color w:val="000000"/>
              </w:rPr>
            </w:pPr>
            <w:r w:rsidRPr="00AD7758">
              <w:rPr>
                <w:rFonts w:eastAsia="Times New Roman" w:cs="Arial"/>
                <w:b/>
                <w:bCs/>
                <w:color w:val="000000"/>
              </w:rPr>
              <w:t>Kings Sedgemoor</w:t>
            </w:r>
          </w:p>
        </w:tc>
        <w:tc>
          <w:tcPr>
            <w:tcW w:w="458" w:type="pct"/>
            <w:shd w:val="clear" w:color="auto" w:fill="auto"/>
            <w:vAlign w:val="bottom"/>
            <w:hideMark/>
          </w:tcPr>
          <w:p w:rsidR="00AD7758" w:rsidRPr="00AD7758" w:rsidRDefault="00AD7758" w:rsidP="00AD7758">
            <w:pPr>
              <w:spacing w:after="0" w:line="240" w:lineRule="auto"/>
              <w:jc w:val="right"/>
              <w:rPr>
                <w:rFonts w:eastAsia="Times New Roman" w:cs="Arial"/>
                <w:color w:val="000000"/>
              </w:rPr>
            </w:pPr>
            <w:r w:rsidRPr="00AD7758">
              <w:rPr>
                <w:rFonts w:eastAsia="Times New Roman" w:cs="Arial"/>
                <w:color w:val="000000"/>
              </w:rPr>
              <w:t>1048830</w:t>
            </w:r>
          </w:p>
        </w:tc>
        <w:tc>
          <w:tcPr>
            <w:tcW w:w="432"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557604</w:t>
            </w:r>
          </w:p>
        </w:tc>
        <w:tc>
          <w:tcPr>
            <w:tcW w:w="45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1606434</w:t>
            </w:r>
          </w:p>
        </w:tc>
        <w:tc>
          <w:tcPr>
            <w:tcW w:w="45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1157520</w:t>
            </w:r>
          </w:p>
        </w:tc>
        <w:tc>
          <w:tcPr>
            <w:tcW w:w="40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621432</w:t>
            </w:r>
          </w:p>
        </w:tc>
        <w:tc>
          <w:tcPr>
            <w:tcW w:w="458" w:type="pct"/>
            <w:shd w:val="clear" w:color="auto" w:fill="auto"/>
            <w:vAlign w:val="bottom"/>
            <w:hideMark/>
          </w:tcPr>
          <w:p w:rsidR="00AD7758" w:rsidRPr="00AD7758" w:rsidRDefault="00AD7758" w:rsidP="00AD7758">
            <w:pPr>
              <w:spacing w:after="0" w:line="240" w:lineRule="auto"/>
              <w:jc w:val="right"/>
              <w:rPr>
                <w:rFonts w:eastAsia="Times New Roman" w:cs="Arial"/>
                <w:color w:val="000000"/>
              </w:rPr>
            </w:pPr>
            <w:r w:rsidRPr="00AD7758">
              <w:rPr>
                <w:rFonts w:eastAsia="Times New Roman" w:cs="Arial"/>
                <w:color w:val="000000"/>
              </w:rPr>
              <w:t>1778952</w:t>
            </w:r>
          </w:p>
        </w:tc>
        <w:tc>
          <w:tcPr>
            <w:tcW w:w="442"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578760</w:t>
            </w:r>
          </w:p>
        </w:tc>
        <w:tc>
          <w:tcPr>
            <w:tcW w:w="451"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310716</w:t>
            </w:r>
          </w:p>
        </w:tc>
        <w:tc>
          <w:tcPr>
            <w:tcW w:w="423"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889476</w:t>
            </w:r>
          </w:p>
        </w:tc>
      </w:tr>
      <w:tr w:rsidR="00AD7758" w:rsidRPr="00AD7758" w:rsidTr="00AD7758">
        <w:trPr>
          <w:trHeight w:val="510"/>
        </w:trPr>
        <w:tc>
          <w:tcPr>
            <w:tcW w:w="1012" w:type="pct"/>
            <w:shd w:val="clear" w:color="auto" w:fill="auto"/>
            <w:noWrap/>
            <w:vAlign w:val="bottom"/>
            <w:hideMark/>
          </w:tcPr>
          <w:p w:rsidR="00AD7758" w:rsidRPr="00AD7758" w:rsidRDefault="00AD7758" w:rsidP="00AD7758">
            <w:pPr>
              <w:spacing w:after="0" w:line="240" w:lineRule="auto"/>
              <w:rPr>
                <w:rFonts w:eastAsia="Times New Roman" w:cs="Arial"/>
                <w:b/>
                <w:bCs/>
                <w:color w:val="000000"/>
              </w:rPr>
            </w:pPr>
            <w:r w:rsidRPr="00AD7758">
              <w:rPr>
                <w:rFonts w:eastAsia="Times New Roman" w:cs="Arial"/>
                <w:b/>
                <w:bCs/>
                <w:color w:val="000000"/>
              </w:rPr>
              <w:t>North Moor</w:t>
            </w:r>
          </w:p>
        </w:tc>
        <w:tc>
          <w:tcPr>
            <w:tcW w:w="458" w:type="pct"/>
            <w:shd w:val="clear" w:color="auto" w:fill="auto"/>
            <w:vAlign w:val="bottom"/>
            <w:hideMark/>
          </w:tcPr>
          <w:p w:rsidR="00AD7758" w:rsidRPr="00AD7758" w:rsidRDefault="00AD7758" w:rsidP="00AD7758">
            <w:pPr>
              <w:spacing w:after="0" w:line="240" w:lineRule="auto"/>
              <w:jc w:val="right"/>
              <w:rPr>
                <w:rFonts w:eastAsia="Times New Roman" w:cs="Arial"/>
                <w:color w:val="000000"/>
              </w:rPr>
            </w:pPr>
            <w:r w:rsidRPr="00AD7758">
              <w:rPr>
                <w:rFonts w:eastAsia="Times New Roman" w:cs="Arial"/>
                <w:color w:val="000000"/>
              </w:rPr>
              <w:t>417210</w:t>
            </w:r>
          </w:p>
        </w:tc>
        <w:tc>
          <w:tcPr>
            <w:tcW w:w="432"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234792</w:t>
            </w:r>
          </w:p>
        </w:tc>
        <w:tc>
          <w:tcPr>
            <w:tcW w:w="45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652002</w:t>
            </w:r>
          </w:p>
        </w:tc>
        <w:tc>
          <w:tcPr>
            <w:tcW w:w="45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449190</w:t>
            </w:r>
          </w:p>
        </w:tc>
        <w:tc>
          <w:tcPr>
            <w:tcW w:w="40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253584</w:t>
            </w:r>
          </w:p>
        </w:tc>
        <w:tc>
          <w:tcPr>
            <w:tcW w:w="458" w:type="pct"/>
            <w:shd w:val="clear" w:color="auto" w:fill="auto"/>
            <w:vAlign w:val="bottom"/>
            <w:hideMark/>
          </w:tcPr>
          <w:p w:rsidR="00AD7758" w:rsidRPr="00AD7758" w:rsidRDefault="00AD7758" w:rsidP="00AD7758">
            <w:pPr>
              <w:spacing w:after="0" w:line="240" w:lineRule="auto"/>
              <w:jc w:val="right"/>
              <w:rPr>
                <w:rFonts w:eastAsia="Times New Roman" w:cs="Arial"/>
                <w:color w:val="000000"/>
              </w:rPr>
            </w:pPr>
            <w:r w:rsidRPr="00AD7758">
              <w:rPr>
                <w:rFonts w:eastAsia="Times New Roman" w:cs="Arial"/>
                <w:color w:val="000000"/>
              </w:rPr>
              <w:t>702774</w:t>
            </w:r>
          </w:p>
        </w:tc>
        <w:tc>
          <w:tcPr>
            <w:tcW w:w="442"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224595</w:t>
            </w:r>
          </w:p>
        </w:tc>
        <w:tc>
          <w:tcPr>
            <w:tcW w:w="451"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126792</w:t>
            </w:r>
          </w:p>
        </w:tc>
        <w:tc>
          <w:tcPr>
            <w:tcW w:w="423"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351387</w:t>
            </w:r>
          </w:p>
        </w:tc>
      </w:tr>
      <w:tr w:rsidR="00AD7758" w:rsidRPr="00AD7758" w:rsidTr="00AD7758">
        <w:trPr>
          <w:trHeight w:val="510"/>
        </w:trPr>
        <w:tc>
          <w:tcPr>
            <w:tcW w:w="1012" w:type="pct"/>
            <w:shd w:val="clear" w:color="auto" w:fill="auto"/>
            <w:noWrap/>
            <w:vAlign w:val="bottom"/>
            <w:hideMark/>
          </w:tcPr>
          <w:p w:rsidR="00AD7758" w:rsidRPr="00AD7758" w:rsidRDefault="00AD7758" w:rsidP="00AD7758">
            <w:pPr>
              <w:spacing w:after="0" w:line="240" w:lineRule="auto"/>
              <w:rPr>
                <w:rFonts w:eastAsia="Times New Roman" w:cs="Arial"/>
                <w:b/>
                <w:bCs/>
                <w:color w:val="000000"/>
              </w:rPr>
            </w:pPr>
            <w:r w:rsidRPr="00AD7758">
              <w:rPr>
                <w:rFonts w:eastAsia="Times New Roman" w:cs="Arial"/>
                <w:b/>
                <w:bCs/>
                <w:color w:val="000000"/>
              </w:rPr>
              <w:t>Southlake</w:t>
            </w:r>
          </w:p>
        </w:tc>
        <w:tc>
          <w:tcPr>
            <w:tcW w:w="458" w:type="pct"/>
            <w:shd w:val="clear" w:color="auto" w:fill="auto"/>
            <w:vAlign w:val="bottom"/>
            <w:hideMark/>
          </w:tcPr>
          <w:p w:rsidR="00AD7758" w:rsidRPr="00AD7758" w:rsidRDefault="00AD7758" w:rsidP="00AD7758">
            <w:pPr>
              <w:spacing w:after="0" w:line="240" w:lineRule="auto"/>
              <w:jc w:val="right"/>
              <w:rPr>
                <w:rFonts w:eastAsia="Times New Roman" w:cs="Arial"/>
                <w:color w:val="000000"/>
              </w:rPr>
            </w:pPr>
            <w:r w:rsidRPr="00AD7758">
              <w:rPr>
                <w:rFonts w:eastAsia="Times New Roman" w:cs="Arial"/>
                <w:color w:val="000000"/>
              </w:rPr>
              <w:t>13590</w:t>
            </w:r>
          </w:p>
        </w:tc>
        <w:tc>
          <w:tcPr>
            <w:tcW w:w="432"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5616</w:t>
            </w:r>
          </w:p>
        </w:tc>
        <w:tc>
          <w:tcPr>
            <w:tcW w:w="45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19206</w:t>
            </w:r>
          </w:p>
        </w:tc>
        <w:tc>
          <w:tcPr>
            <w:tcW w:w="45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71760</w:t>
            </w:r>
          </w:p>
        </w:tc>
        <w:tc>
          <w:tcPr>
            <w:tcW w:w="40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36396</w:t>
            </w:r>
          </w:p>
        </w:tc>
        <w:tc>
          <w:tcPr>
            <w:tcW w:w="458" w:type="pct"/>
            <w:shd w:val="clear" w:color="auto" w:fill="auto"/>
            <w:vAlign w:val="bottom"/>
            <w:hideMark/>
          </w:tcPr>
          <w:p w:rsidR="00AD7758" w:rsidRPr="00AD7758" w:rsidRDefault="00AD7758" w:rsidP="00AD7758">
            <w:pPr>
              <w:spacing w:after="0" w:line="240" w:lineRule="auto"/>
              <w:jc w:val="right"/>
              <w:rPr>
                <w:rFonts w:eastAsia="Times New Roman" w:cs="Arial"/>
                <w:color w:val="000000"/>
              </w:rPr>
            </w:pPr>
            <w:r w:rsidRPr="00AD7758">
              <w:rPr>
                <w:rFonts w:eastAsia="Times New Roman" w:cs="Arial"/>
                <w:color w:val="000000"/>
              </w:rPr>
              <w:t>108156</w:t>
            </w:r>
          </w:p>
        </w:tc>
        <w:tc>
          <w:tcPr>
            <w:tcW w:w="442"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35880</w:t>
            </w:r>
          </w:p>
        </w:tc>
        <w:tc>
          <w:tcPr>
            <w:tcW w:w="451"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18198</w:t>
            </w:r>
          </w:p>
        </w:tc>
        <w:tc>
          <w:tcPr>
            <w:tcW w:w="423"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54078</w:t>
            </w:r>
          </w:p>
        </w:tc>
      </w:tr>
      <w:tr w:rsidR="00AD7758" w:rsidRPr="00AD7758" w:rsidTr="00AD7758">
        <w:trPr>
          <w:trHeight w:val="510"/>
        </w:trPr>
        <w:tc>
          <w:tcPr>
            <w:tcW w:w="1012" w:type="pct"/>
            <w:shd w:val="clear" w:color="auto" w:fill="auto"/>
            <w:noWrap/>
            <w:vAlign w:val="bottom"/>
            <w:hideMark/>
          </w:tcPr>
          <w:p w:rsidR="00AD7758" w:rsidRPr="00AD7758" w:rsidRDefault="00AD7758" w:rsidP="00AD7758">
            <w:pPr>
              <w:spacing w:after="0" w:line="240" w:lineRule="auto"/>
              <w:rPr>
                <w:rFonts w:eastAsia="Times New Roman" w:cs="Arial"/>
                <w:b/>
                <w:bCs/>
                <w:color w:val="000000"/>
              </w:rPr>
            </w:pPr>
            <w:r w:rsidRPr="00AD7758">
              <w:rPr>
                <w:rFonts w:eastAsia="Times New Roman" w:cs="Arial"/>
                <w:b/>
                <w:bCs/>
                <w:color w:val="000000"/>
              </w:rPr>
              <w:t>West Moor</w:t>
            </w:r>
          </w:p>
        </w:tc>
        <w:tc>
          <w:tcPr>
            <w:tcW w:w="458" w:type="pct"/>
            <w:shd w:val="clear" w:color="auto" w:fill="auto"/>
            <w:vAlign w:val="bottom"/>
            <w:hideMark/>
          </w:tcPr>
          <w:p w:rsidR="00AD7758" w:rsidRPr="00AD7758" w:rsidRDefault="00AD7758" w:rsidP="00AD7758">
            <w:pPr>
              <w:spacing w:after="0" w:line="240" w:lineRule="auto"/>
              <w:jc w:val="right"/>
              <w:rPr>
                <w:rFonts w:eastAsia="Times New Roman" w:cs="Arial"/>
                <w:color w:val="000000"/>
              </w:rPr>
            </w:pPr>
            <w:r w:rsidRPr="00AD7758">
              <w:rPr>
                <w:rFonts w:eastAsia="Times New Roman" w:cs="Arial"/>
                <w:color w:val="000000"/>
              </w:rPr>
              <w:t>120870</w:t>
            </w:r>
          </w:p>
        </w:tc>
        <w:tc>
          <w:tcPr>
            <w:tcW w:w="432"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60372</w:t>
            </w:r>
          </w:p>
        </w:tc>
        <w:tc>
          <w:tcPr>
            <w:tcW w:w="45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181242</w:t>
            </w:r>
          </w:p>
        </w:tc>
        <w:tc>
          <w:tcPr>
            <w:tcW w:w="45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143250</w:t>
            </w:r>
          </w:p>
        </w:tc>
        <w:tc>
          <w:tcPr>
            <w:tcW w:w="40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73548</w:t>
            </w:r>
          </w:p>
        </w:tc>
        <w:tc>
          <w:tcPr>
            <w:tcW w:w="458" w:type="pct"/>
            <w:shd w:val="clear" w:color="auto" w:fill="auto"/>
            <w:vAlign w:val="bottom"/>
            <w:hideMark/>
          </w:tcPr>
          <w:p w:rsidR="00AD7758" w:rsidRPr="00AD7758" w:rsidRDefault="00AD7758" w:rsidP="00AD7758">
            <w:pPr>
              <w:spacing w:after="0" w:line="240" w:lineRule="auto"/>
              <w:jc w:val="right"/>
              <w:rPr>
                <w:rFonts w:eastAsia="Times New Roman" w:cs="Arial"/>
                <w:color w:val="000000"/>
              </w:rPr>
            </w:pPr>
            <w:r w:rsidRPr="00AD7758">
              <w:rPr>
                <w:rFonts w:eastAsia="Times New Roman" w:cs="Arial"/>
                <w:color w:val="000000"/>
              </w:rPr>
              <w:t>216798</w:t>
            </w:r>
          </w:p>
        </w:tc>
        <w:tc>
          <w:tcPr>
            <w:tcW w:w="442"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71625</w:t>
            </w:r>
          </w:p>
        </w:tc>
        <w:tc>
          <w:tcPr>
            <w:tcW w:w="451"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36774</w:t>
            </w:r>
          </w:p>
        </w:tc>
        <w:tc>
          <w:tcPr>
            <w:tcW w:w="423"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108399</w:t>
            </w:r>
          </w:p>
        </w:tc>
      </w:tr>
      <w:tr w:rsidR="00AD7758" w:rsidRPr="00AD7758" w:rsidTr="00AD7758">
        <w:trPr>
          <w:trHeight w:val="510"/>
        </w:trPr>
        <w:tc>
          <w:tcPr>
            <w:tcW w:w="1012" w:type="pct"/>
            <w:shd w:val="clear" w:color="auto" w:fill="auto"/>
            <w:noWrap/>
            <w:vAlign w:val="bottom"/>
            <w:hideMark/>
          </w:tcPr>
          <w:p w:rsidR="00AD7758" w:rsidRPr="00AD7758" w:rsidRDefault="00AD7758" w:rsidP="00AD7758">
            <w:pPr>
              <w:spacing w:after="0" w:line="240" w:lineRule="auto"/>
              <w:rPr>
                <w:rFonts w:eastAsia="Times New Roman" w:cs="Arial"/>
                <w:b/>
                <w:bCs/>
                <w:color w:val="000000"/>
              </w:rPr>
            </w:pPr>
            <w:r w:rsidRPr="00AD7758">
              <w:rPr>
                <w:rFonts w:eastAsia="Times New Roman" w:cs="Arial"/>
                <w:b/>
                <w:bCs/>
                <w:color w:val="000000"/>
              </w:rPr>
              <w:t>West Sedgemoor</w:t>
            </w:r>
          </w:p>
        </w:tc>
        <w:tc>
          <w:tcPr>
            <w:tcW w:w="458" w:type="pct"/>
            <w:shd w:val="clear" w:color="auto" w:fill="auto"/>
            <w:vAlign w:val="bottom"/>
            <w:hideMark/>
          </w:tcPr>
          <w:p w:rsidR="00AD7758" w:rsidRPr="00AD7758" w:rsidRDefault="00AD7758" w:rsidP="00AD7758">
            <w:pPr>
              <w:spacing w:after="0" w:line="240" w:lineRule="auto"/>
              <w:jc w:val="right"/>
              <w:rPr>
                <w:rFonts w:eastAsia="Times New Roman" w:cs="Arial"/>
                <w:color w:val="000000"/>
              </w:rPr>
            </w:pPr>
            <w:r w:rsidRPr="00AD7758">
              <w:rPr>
                <w:rFonts w:eastAsia="Times New Roman" w:cs="Arial"/>
                <w:color w:val="000000"/>
              </w:rPr>
              <w:t>315540</w:t>
            </w:r>
          </w:p>
        </w:tc>
        <w:tc>
          <w:tcPr>
            <w:tcW w:w="432"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174744</w:t>
            </w:r>
          </w:p>
        </w:tc>
        <w:tc>
          <w:tcPr>
            <w:tcW w:w="45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490284</w:t>
            </w:r>
          </w:p>
        </w:tc>
        <w:tc>
          <w:tcPr>
            <w:tcW w:w="45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408630</w:t>
            </w:r>
          </w:p>
        </w:tc>
        <w:tc>
          <w:tcPr>
            <w:tcW w:w="40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230148</w:t>
            </w:r>
          </w:p>
        </w:tc>
        <w:tc>
          <w:tcPr>
            <w:tcW w:w="458" w:type="pct"/>
            <w:shd w:val="clear" w:color="auto" w:fill="auto"/>
            <w:vAlign w:val="bottom"/>
            <w:hideMark/>
          </w:tcPr>
          <w:p w:rsidR="00AD7758" w:rsidRPr="00AD7758" w:rsidRDefault="00AD7758" w:rsidP="00AD7758">
            <w:pPr>
              <w:spacing w:after="0" w:line="240" w:lineRule="auto"/>
              <w:jc w:val="right"/>
              <w:rPr>
                <w:rFonts w:eastAsia="Times New Roman" w:cs="Arial"/>
                <w:color w:val="000000"/>
              </w:rPr>
            </w:pPr>
            <w:r w:rsidRPr="00AD7758">
              <w:rPr>
                <w:rFonts w:eastAsia="Times New Roman" w:cs="Arial"/>
                <w:color w:val="000000"/>
              </w:rPr>
              <w:t>638778</w:t>
            </w:r>
          </w:p>
        </w:tc>
        <w:tc>
          <w:tcPr>
            <w:tcW w:w="442"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204315</w:t>
            </w:r>
          </w:p>
        </w:tc>
        <w:tc>
          <w:tcPr>
            <w:tcW w:w="451"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115074</w:t>
            </w:r>
          </w:p>
        </w:tc>
        <w:tc>
          <w:tcPr>
            <w:tcW w:w="423"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319389</w:t>
            </w:r>
          </w:p>
        </w:tc>
      </w:tr>
      <w:tr w:rsidR="00AD7758" w:rsidRPr="00AD7758" w:rsidTr="00AD7758">
        <w:trPr>
          <w:trHeight w:val="510"/>
        </w:trPr>
        <w:tc>
          <w:tcPr>
            <w:tcW w:w="1012" w:type="pct"/>
            <w:shd w:val="clear" w:color="auto" w:fill="auto"/>
            <w:noWrap/>
            <w:vAlign w:val="bottom"/>
            <w:hideMark/>
          </w:tcPr>
          <w:p w:rsidR="00AD7758" w:rsidRPr="00AD7758" w:rsidRDefault="00AD7758" w:rsidP="00AD7758">
            <w:pPr>
              <w:spacing w:after="0" w:line="240" w:lineRule="auto"/>
              <w:rPr>
                <w:rFonts w:eastAsia="Times New Roman" w:cs="Arial"/>
                <w:b/>
                <w:bCs/>
                <w:color w:val="000000"/>
              </w:rPr>
            </w:pPr>
            <w:r w:rsidRPr="00AD7758">
              <w:rPr>
                <w:rFonts w:eastAsia="Times New Roman" w:cs="Arial"/>
                <w:b/>
                <w:bCs/>
                <w:color w:val="000000"/>
              </w:rPr>
              <w:t>Wet Moor</w:t>
            </w:r>
          </w:p>
        </w:tc>
        <w:tc>
          <w:tcPr>
            <w:tcW w:w="458" w:type="pct"/>
            <w:shd w:val="clear" w:color="auto" w:fill="auto"/>
            <w:vAlign w:val="bottom"/>
            <w:hideMark/>
          </w:tcPr>
          <w:p w:rsidR="00AD7758" w:rsidRPr="00AD7758" w:rsidRDefault="00AD7758" w:rsidP="00AD7758">
            <w:pPr>
              <w:spacing w:after="0" w:line="240" w:lineRule="auto"/>
              <w:jc w:val="right"/>
              <w:rPr>
                <w:rFonts w:eastAsia="Times New Roman" w:cs="Arial"/>
                <w:color w:val="000000"/>
              </w:rPr>
            </w:pPr>
            <w:r w:rsidRPr="00AD7758">
              <w:rPr>
                <w:rFonts w:eastAsia="Times New Roman" w:cs="Arial"/>
                <w:color w:val="000000"/>
              </w:rPr>
              <w:t>239160</w:t>
            </w:r>
          </w:p>
        </w:tc>
        <w:tc>
          <w:tcPr>
            <w:tcW w:w="432"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112320</w:t>
            </w:r>
          </w:p>
        </w:tc>
        <w:tc>
          <w:tcPr>
            <w:tcW w:w="45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351480</w:t>
            </w:r>
          </w:p>
        </w:tc>
        <w:tc>
          <w:tcPr>
            <w:tcW w:w="45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322110</w:t>
            </w:r>
          </w:p>
        </w:tc>
        <w:tc>
          <w:tcPr>
            <w:tcW w:w="408"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159516</w:t>
            </w:r>
          </w:p>
        </w:tc>
        <w:tc>
          <w:tcPr>
            <w:tcW w:w="458" w:type="pct"/>
            <w:shd w:val="clear" w:color="auto" w:fill="auto"/>
            <w:vAlign w:val="bottom"/>
            <w:hideMark/>
          </w:tcPr>
          <w:p w:rsidR="00AD7758" w:rsidRPr="00AD7758" w:rsidRDefault="00AD7758" w:rsidP="00AD7758">
            <w:pPr>
              <w:spacing w:after="0" w:line="240" w:lineRule="auto"/>
              <w:jc w:val="right"/>
              <w:rPr>
                <w:rFonts w:eastAsia="Times New Roman" w:cs="Arial"/>
                <w:color w:val="000000"/>
              </w:rPr>
            </w:pPr>
            <w:r w:rsidRPr="00AD7758">
              <w:rPr>
                <w:rFonts w:eastAsia="Times New Roman" w:cs="Arial"/>
                <w:color w:val="000000"/>
              </w:rPr>
              <w:t>481626</w:t>
            </w:r>
          </w:p>
        </w:tc>
        <w:tc>
          <w:tcPr>
            <w:tcW w:w="442"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161055</w:t>
            </w:r>
          </w:p>
        </w:tc>
        <w:tc>
          <w:tcPr>
            <w:tcW w:w="451"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79758</w:t>
            </w:r>
          </w:p>
        </w:tc>
        <w:tc>
          <w:tcPr>
            <w:tcW w:w="423" w:type="pct"/>
            <w:shd w:val="clear" w:color="auto" w:fill="auto"/>
            <w:noWrap/>
            <w:vAlign w:val="bottom"/>
            <w:hideMark/>
          </w:tcPr>
          <w:p w:rsidR="00AD7758" w:rsidRPr="00AD7758" w:rsidRDefault="00AD7758" w:rsidP="00AD7758">
            <w:pPr>
              <w:spacing w:after="0" w:line="240" w:lineRule="auto"/>
              <w:jc w:val="right"/>
              <w:rPr>
                <w:rFonts w:eastAsia="Times New Roman" w:cs="Times New Roman"/>
                <w:color w:val="000000"/>
              </w:rPr>
            </w:pPr>
            <w:r w:rsidRPr="00AD7758">
              <w:rPr>
                <w:rFonts w:eastAsia="Times New Roman" w:cs="Times New Roman"/>
                <w:color w:val="000000"/>
              </w:rPr>
              <w:t>240813</w:t>
            </w:r>
          </w:p>
        </w:tc>
      </w:tr>
      <w:tr w:rsidR="00331EBD" w:rsidRPr="00AD7758" w:rsidTr="00F61127">
        <w:trPr>
          <w:trHeight w:val="510"/>
        </w:trPr>
        <w:tc>
          <w:tcPr>
            <w:tcW w:w="1012" w:type="pct"/>
            <w:shd w:val="clear" w:color="auto" w:fill="auto"/>
            <w:noWrap/>
            <w:vAlign w:val="bottom"/>
            <w:hideMark/>
          </w:tcPr>
          <w:p w:rsidR="00331EBD" w:rsidRPr="00AD7758" w:rsidRDefault="00331EBD" w:rsidP="00AD7758">
            <w:pPr>
              <w:spacing w:after="0" w:line="240" w:lineRule="auto"/>
              <w:rPr>
                <w:rFonts w:eastAsia="Times New Roman" w:cs="Arial"/>
                <w:b/>
                <w:bCs/>
                <w:color w:val="000000"/>
              </w:rPr>
            </w:pPr>
            <w:r>
              <w:rPr>
                <w:rFonts w:eastAsia="Times New Roman" w:cs="Arial"/>
                <w:b/>
                <w:bCs/>
                <w:color w:val="000000"/>
              </w:rPr>
              <w:t>Total all areas</w:t>
            </w:r>
          </w:p>
        </w:tc>
        <w:tc>
          <w:tcPr>
            <w:tcW w:w="458" w:type="pct"/>
            <w:shd w:val="clear" w:color="auto" w:fill="auto"/>
            <w:vAlign w:val="bottom"/>
            <w:hideMark/>
          </w:tcPr>
          <w:p w:rsidR="00331EBD" w:rsidRPr="00AD7758" w:rsidRDefault="00F61127" w:rsidP="00F61127">
            <w:pPr>
              <w:pStyle w:val="NoSpacing"/>
              <w:jc w:val="right"/>
            </w:pPr>
            <w:r>
              <w:t>4408110</w:t>
            </w:r>
          </w:p>
        </w:tc>
        <w:tc>
          <w:tcPr>
            <w:tcW w:w="432" w:type="pct"/>
            <w:shd w:val="clear" w:color="auto" w:fill="auto"/>
            <w:noWrap/>
            <w:vAlign w:val="bottom"/>
            <w:hideMark/>
          </w:tcPr>
          <w:p w:rsidR="00331EBD" w:rsidRPr="00AD7758" w:rsidRDefault="00F61127" w:rsidP="005A152D">
            <w:pPr>
              <w:spacing w:after="0" w:line="240" w:lineRule="auto"/>
              <w:jc w:val="right"/>
              <w:rPr>
                <w:rFonts w:eastAsia="Times New Roman" w:cs="Times New Roman"/>
                <w:color w:val="000000"/>
              </w:rPr>
            </w:pPr>
            <w:r>
              <w:rPr>
                <w:rFonts w:eastAsia="Times New Roman" w:cs="Times New Roman"/>
                <w:color w:val="000000"/>
              </w:rPr>
              <w:t>2347272</w:t>
            </w:r>
          </w:p>
        </w:tc>
        <w:tc>
          <w:tcPr>
            <w:tcW w:w="458" w:type="pct"/>
            <w:shd w:val="clear" w:color="auto" w:fill="auto"/>
            <w:noWrap/>
            <w:vAlign w:val="bottom"/>
            <w:hideMark/>
          </w:tcPr>
          <w:p w:rsidR="00331EBD" w:rsidRPr="00AD7758" w:rsidRDefault="00F61127" w:rsidP="005A152D">
            <w:pPr>
              <w:spacing w:after="0" w:line="240" w:lineRule="auto"/>
              <w:jc w:val="right"/>
              <w:rPr>
                <w:rFonts w:eastAsia="Times New Roman" w:cs="Times New Roman"/>
                <w:color w:val="000000"/>
              </w:rPr>
            </w:pPr>
            <w:r>
              <w:rPr>
                <w:rFonts w:eastAsia="Times New Roman" w:cs="Times New Roman"/>
                <w:color w:val="000000"/>
              </w:rPr>
              <w:t>6755382</w:t>
            </w:r>
          </w:p>
        </w:tc>
        <w:tc>
          <w:tcPr>
            <w:tcW w:w="458" w:type="pct"/>
            <w:shd w:val="clear" w:color="auto" w:fill="auto"/>
            <w:noWrap/>
            <w:vAlign w:val="bottom"/>
            <w:hideMark/>
          </w:tcPr>
          <w:p w:rsidR="00331EBD" w:rsidRPr="00AD7758" w:rsidRDefault="00F61127" w:rsidP="005A152D">
            <w:pPr>
              <w:spacing w:after="0" w:line="240" w:lineRule="auto"/>
              <w:jc w:val="right"/>
              <w:rPr>
                <w:rFonts w:eastAsia="Times New Roman" w:cs="Times New Roman"/>
                <w:color w:val="000000"/>
              </w:rPr>
            </w:pPr>
            <w:r>
              <w:rPr>
                <w:rFonts w:eastAsia="Times New Roman" w:cs="Times New Roman"/>
                <w:color w:val="000000"/>
              </w:rPr>
              <w:t>4901730</w:t>
            </w:r>
          </w:p>
        </w:tc>
        <w:tc>
          <w:tcPr>
            <w:tcW w:w="408" w:type="pct"/>
            <w:shd w:val="clear" w:color="auto" w:fill="auto"/>
            <w:noWrap/>
            <w:vAlign w:val="bottom"/>
            <w:hideMark/>
          </w:tcPr>
          <w:p w:rsidR="00331EBD" w:rsidRPr="00AD7758" w:rsidRDefault="00F61127" w:rsidP="005A152D">
            <w:pPr>
              <w:spacing w:after="0" w:line="240" w:lineRule="auto"/>
              <w:jc w:val="right"/>
              <w:rPr>
                <w:rFonts w:eastAsia="Times New Roman" w:cs="Times New Roman"/>
                <w:color w:val="000000"/>
              </w:rPr>
            </w:pPr>
            <w:r>
              <w:rPr>
                <w:rFonts w:eastAsia="Times New Roman" w:cs="Times New Roman"/>
                <w:color w:val="000000"/>
              </w:rPr>
              <w:t>2633148</w:t>
            </w:r>
          </w:p>
        </w:tc>
        <w:tc>
          <w:tcPr>
            <w:tcW w:w="458" w:type="pct"/>
            <w:shd w:val="clear" w:color="auto" w:fill="auto"/>
            <w:vAlign w:val="bottom"/>
            <w:hideMark/>
          </w:tcPr>
          <w:p w:rsidR="00331EBD" w:rsidRPr="00AD7758" w:rsidRDefault="00F61127" w:rsidP="005A152D">
            <w:pPr>
              <w:spacing w:after="0" w:line="240" w:lineRule="auto"/>
              <w:jc w:val="right"/>
              <w:rPr>
                <w:rFonts w:eastAsia="Times New Roman" w:cs="Arial"/>
                <w:color w:val="000000"/>
              </w:rPr>
            </w:pPr>
            <w:r>
              <w:rPr>
                <w:rFonts w:eastAsia="Times New Roman" w:cs="Arial"/>
                <w:color w:val="000000"/>
              </w:rPr>
              <w:t>7534878</w:t>
            </w:r>
          </w:p>
        </w:tc>
        <w:tc>
          <w:tcPr>
            <w:tcW w:w="442" w:type="pct"/>
            <w:shd w:val="clear" w:color="auto" w:fill="auto"/>
            <w:noWrap/>
            <w:vAlign w:val="bottom"/>
            <w:hideMark/>
          </w:tcPr>
          <w:p w:rsidR="00331EBD" w:rsidRPr="00AD7758" w:rsidRDefault="00F61127" w:rsidP="005A152D">
            <w:pPr>
              <w:spacing w:after="0" w:line="240" w:lineRule="auto"/>
              <w:jc w:val="right"/>
              <w:rPr>
                <w:rFonts w:eastAsia="Times New Roman" w:cs="Times New Roman"/>
                <w:color w:val="000000"/>
              </w:rPr>
            </w:pPr>
            <w:r>
              <w:rPr>
                <w:rFonts w:eastAsia="Times New Roman" w:cs="Times New Roman"/>
                <w:color w:val="000000"/>
              </w:rPr>
              <w:t>2450865</w:t>
            </w:r>
          </w:p>
        </w:tc>
        <w:tc>
          <w:tcPr>
            <w:tcW w:w="451" w:type="pct"/>
            <w:shd w:val="clear" w:color="auto" w:fill="auto"/>
            <w:noWrap/>
            <w:vAlign w:val="bottom"/>
            <w:hideMark/>
          </w:tcPr>
          <w:p w:rsidR="00331EBD" w:rsidRPr="00AD7758" w:rsidRDefault="00F61127" w:rsidP="005A152D">
            <w:pPr>
              <w:spacing w:after="0" w:line="240" w:lineRule="auto"/>
              <w:jc w:val="right"/>
              <w:rPr>
                <w:rFonts w:eastAsia="Times New Roman" w:cs="Times New Roman"/>
                <w:color w:val="000000"/>
              </w:rPr>
            </w:pPr>
            <w:r>
              <w:rPr>
                <w:rFonts w:eastAsia="Times New Roman" w:cs="Times New Roman"/>
                <w:color w:val="000000"/>
              </w:rPr>
              <w:t>1316574</w:t>
            </w:r>
          </w:p>
        </w:tc>
        <w:tc>
          <w:tcPr>
            <w:tcW w:w="423" w:type="pct"/>
            <w:shd w:val="clear" w:color="auto" w:fill="auto"/>
            <w:noWrap/>
            <w:vAlign w:val="bottom"/>
            <w:hideMark/>
          </w:tcPr>
          <w:p w:rsidR="00331EBD" w:rsidRPr="00AD7758" w:rsidRDefault="00F61127" w:rsidP="005A152D">
            <w:pPr>
              <w:spacing w:after="0" w:line="240" w:lineRule="auto"/>
              <w:jc w:val="right"/>
              <w:rPr>
                <w:rFonts w:eastAsia="Times New Roman" w:cs="Times New Roman"/>
                <w:color w:val="000000"/>
              </w:rPr>
            </w:pPr>
            <w:r>
              <w:rPr>
                <w:rFonts w:eastAsia="Times New Roman" w:cs="Times New Roman"/>
                <w:color w:val="000000"/>
              </w:rPr>
              <w:t>3767439</w:t>
            </w:r>
          </w:p>
        </w:tc>
      </w:tr>
    </w:tbl>
    <w:p w:rsidR="00AD7758" w:rsidRDefault="00AD7758"/>
    <w:p w:rsidR="00AD7758" w:rsidRDefault="00AD7758"/>
    <w:p w:rsidR="006363C5" w:rsidRDefault="006363C5" w:rsidP="006363C5">
      <w:pPr>
        <w:keepNext/>
      </w:pPr>
      <w:r>
        <w:rPr>
          <w:noProof/>
        </w:rPr>
        <w:drawing>
          <wp:inline distT="0" distB="0" distL="0" distR="0">
            <wp:extent cx="8863330" cy="4547870"/>
            <wp:effectExtent l="19050" t="0" r="0" b="0"/>
            <wp:docPr id="20" name="Picture 19" descr="Rplo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11.png"/>
                    <pic:cNvPicPr/>
                  </pic:nvPicPr>
                  <pic:blipFill>
                    <a:blip r:embed="rId24" cstate="email">
                      <a:extLst>
                        <a:ext uri="{28A0092B-C50C-407E-A947-70E740481C1C}">
                          <a14:useLocalDpi xmlns:a14="http://schemas.microsoft.com/office/drawing/2010/main"/>
                        </a:ext>
                      </a:extLst>
                    </a:blip>
                    <a:stretch>
                      <a:fillRect/>
                    </a:stretch>
                  </pic:blipFill>
                  <pic:spPr>
                    <a:xfrm>
                      <a:off x="0" y="0"/>
                      <a:ext cx="8863330" cy="4547870"/>
                    </a:xfrm>
                    <a:prstGeom prst="rect">
                      <a:avLst/>
                    </a:prstGeom>
                  </pic:spPr>
                </pic:pic>
              </a:graphicData>
            </a:graphic>
          </wp:inline>
        </w:drawing>
      </w:r>
    </w:p>
    <w:p w:rsidR="006363C5" w:rsidRPr="006363C5" w:rsidRDefault="006363C5" w:rsidP="007719E1">
      <w:pPr>
        <w:pStyle w:val="Caption"/>
        <w:jc w:val="both"/>
        <w:rPr>
          <w:b w:val="0"/>
          <w:color w:val="auto"/>
          <w:sz w:val="22"/>
          <w:szCs w:val="22"/>
        </w:rPr>
      </w:pPr>
      <w:r w:rsidRPr="006363C5">
        <w:rPr>
          <w:b w:val="0"/>
          <w:color w:val="auto"/>
          <w:sz w:val="22"/>
          <w:szCs w:val="22"/>
        </w:rPr>
        <w:t xml:space="preserve">Figure </w:t>
      </w:r>
      <w:r w:rsidR="00251534" w:rsidRPr="006363C5">
        <w:rPr>
          <w:b w:val="0"/>
          <w:color w:val="auto"/>
          <w:sz w:val="22"/>
          <w:szCs w:val="22"/>
        </w:rPr>
        <w:fldChar w:fldCharType="begin"/>
      </w:r>
      <w:r w:rsidRPr="006363C5">
        <w:rPr>
          <w:b w:val="0"/>
          <w:color w:val="auto"/>
          <w:sz w:val="22"/>
          <w:szCs w:val="22"/>
        </w:rPr>
        <w:instrText xml:space="preserve"> SEQ Figure \* ARABIC </w:instrText>
      </w:r>
      <w:r w:rsidR="00251534" w:rsidRPr="006363C5">
        <w:rPr>
          <w:b w:val="0"/>
          <w:color w:val="auto"/>
          <w:sz w:val="22"/>
          <w:szCs w:val="22"/>
        </w:rPr>
        <w:fldChar w:fldCharType="separate"/>
      </w:r>
      <w:r w:rsidR="000E193B">
        <w:rPr>
          <w:b w:val="0"/>
          <w:noProof/>
          <w:color w:val="auto"/>
          <w:sz w:val="22"/>
          <w:szCs w:val="22"/>
        </w:rPr>
        <w:t>12</w:t>
      </w:r>
      <w:r w:rsidR="00251534" w:rsidRPr="006363C5">
        <w:rPr>
          <w:b w:val="0"/>
          <w:color w:val="auto"/>
          <w:sz w:val="22"/>
          <w:szCs w:val="22"/>
        </w:rPr>
        <w:fldChar w:fldCharType="end"/>
      </w:r>
      <w:r w:rsidR="00F54328">
        <w:rPr>
          <w:b w:val="0"/>
          <w:color w:val="auto"/>
          <w:sz w:val="22"/>
          <w:szCs w:val="22"/>
        </w:rPr>
        <w:t>.</w:t>
      </w:r>
      <w:r w:rsidRPr="006363C5">
        <w:rPr>
          <w:b w:val="0"/>
          <w:color w:val="auto"/>
          <w:sz w:val="22"/>
          <w:szCs w:val="22"/>
        </w:rPr>
        <w:t xml:space="preserve"> </w:t>
      </w:r>
      <w:r w:rsidR="002213A8">
        <w:rPr>
          <w:b w:val="0"/>
          <w:color w:val="auto"/>
          <w:sz w:val="22"/>
          <w:szCs w:val="22"/>
        </w:rPr>
        <w:t>Ditch</w:t>
      </w:r>
      <w:r w:rsidRPr="006363C5">
        <w:rPr>
          <w:b w:val="0"/>
          <w:color w:val="auto"/>
          <w:sz w:val="22"/>
          <w:szCs w:val="22"/>
        </w:rPr>
        <w:t xml:space="preserve"> stor</w:t>
      </w:r>
      <w:r w:rsidR="007719E1">
        <w:rPr>
          <w:b w:val="0"/>
          <w:color w:val="auto"/>
          <w:sz w:val="22"/>
          <w:szCs w:val="22"/>
        </w:rPr>
        <w:t>age volumes for each WLMP unit under each of three water level management conditions: Winter ditch storage available under current conditions (Winter_current), the winter theoretical maximum ditch storage (Winter_max) and summer ditch storage (Summer). Each bar represents the total ditch storage available under the corresponding conditions and is divided between c</w:t>
      </w:r>
      <w:r w:rsidR="007719E1" w:rsidRPr="00AD7758">
        <w:rPr>
          <w:b w:val="0"/>
          <w:color w:val="auto"/>
          <w:sz w:val="22"/>
          <w:szCs w:val="22"/>
        </w:rPr>
        <w:t>hannel</w:t>
      </w:r>
      <w:r w:rsidR="007719E1">
        <w:rPr>
          <w:b w:val="0"/>
          <w:color w:val="auto"/>
          <w:sz w:val="22"/>
          <w:szCs w:val="22"/>
        </w:rPr>
        <w:t xml:space="preserve"> storage (blue) and </w:t>
      </w:r>
      <w:r w:rsidR="007719E1" w:rsidRPr="00AD7758">
        <w:rPr>
          <w:b w:val="0"/>
          <w:color w:val="auto"/>
          <w:sz w:val="22"/>
          <w:szCs w:val="22"/>
        </w:rPr>
        <w:t>soil</w:t>
      </w:r>
      <w:r w:rsidR="007719E1">
        <w:rPr>
          <w:b w:val="0"/>
          <w:color w:val="auto"/>
          <w:sz w:val="22"/>
          <w:szCs w:val="22"/>
        </w:rPr>
        <w:t xml:space="preserve"> storage (brown) volumes. </w:t>
      </w:r>
      <w:r w:rsidR="002213A8">
        <w:rPr>
          <w:b w:val="0"/>
          <w:color w:val="auto"/>
          <w:sz w:val="22"/>
          <w:szCs w:val="22"/>
        </w:rPr>
        <w:t>T</w:t>
      </w:r>
      <w:r w:rsidR="002213A8" w:rsidRPr="006363C5">
        <w:rPr>
          <w:b w:val="0"/>
          <w:color w:val="auto"/>
          <w:sz w:val="22"/>
          <w:szCs w:val="22"/>
        </w:rPr>
        <w:t>he distance of influence is 9 m and the specific yield is 0.2.</w:t>
      </w:r>
      <w:r w:rsidR="002213A8">
        <w:rPr>
          <w:b w:val="0"/>
          <w:color w:val="auto"/>
          <w:sz w:val="22"/>
          <w:szCs w:val="22"/>
        </w:rPr>
        <w:t xml:space="preserve"> </w:t>
      </w:r>
    </w:p>
    <w:p w:rsidR="00A102C1" w:rsidRDefault="00A102C1" w:rsidP="00A102C1">
      <w:pPr>
        <w:pStyle w:val="Caption"/>
        <w:keepNext/>
        <w:rPr>
          <w:b w:val="0"/>
          <w:color w:val="auto"/>
          <w:sz w:val="22"/>
          <w:szCs w:val="22"/>
        </w:rPr>
      </w:pPr>
      <w:r w:rsidRPr="00A102C1">
        <w:rPr>
          <w:b w:val="0"/>
          <w:color w:val="auto"/>
          <w:sz w:val="22"/>
          <w:szCs w:val="22"/>
        </w:rPr>
        <w:lastRenderedPageBreak/>
        <w:t xml:space="preserve">Table </w:t>
      </w:r>
      <w:r w:rsidR="00251534" w:rsidRPr="00A102C1">
        <w:rPr>
          <w:b w:val="0"/>
          <w:color w:val="auto"/>
          <w:sz w:val="22"/>
          <w:szCs w:val="22"/>
        </w:rPr>
        <w:fldChar w:fldCharType="begin"/>
      </w:r>
      <w:r w:rsidRPr="00A102C1">
        <w:rPr>
          <w:b w:val="0"/>
          <w:color w:val="auto"/>
          <w:sz w:val="22"/>
          <w:szCs w:val="22"/>
        </w:rPr>
        <w:instrText xml:space="preserve"> SEQ Table \* ARABIC </w:instrText>
      </w:r>
      <w:r w:rsidR="00251534" w:rsidRPr="00A102C1">
        <w:rPr>
          <w:b w:val="0"/>
          <w:color w:val="auto"/>
          <w:sz w:val="22"/>
          <w:szCs w:val="22"/>
        </w:rPr>
        <w:fldChar w:fldCharType="separate"/>
      </w:r>
      <w:r w:rsidR="000E193B">
        <w:rPr>
          <w:b w:val="0"/>
          <w:noProof/>
          <w:color w:val="auto"/>
          <w:sz w:val="22"/>
          <w:szCs w:val="22"/>
        </w:rPr>
        <w:t>12</w:t>
      </w:r>
      <w:r w:rsidR="00251534" w:rsidRPr="00A102C1">
        <w:rPr>
          <w:b w:val="0"/>
          <w:color w:val="auto"/>
          <w:sz w:val="22"/>
          <w:szCs w:val="22"/>
        </w:rPr>
        <w:fldChar w:fldCharType="end"/>
      </w:r>
      <w:r w:rsidR="00F54328">
        <w:rPr>
          <w:b w:val="0"/>
          <w:color w:val="auto"/>
          <w:sz w:val="22"/>
          <w:szCs w:val="22"/>
        </w:rPr>
        <w:t>.</w:t>
      </w:r>
      <w:r w:rsidRPr="00A102C1">
        <w:rPr>
          <w:b w:val="0"/>
          <w:color w:val="auto"/>
          <w:sz w:val="22"/>
          <w:szCs w:val="22"/>
        </w:rPr>
        <w:t xml:space="preserve"> Total ditch storage expressed in relation to total winter 13/14 </w:t>
      </w:r>
      <w:r w:rsidR="007719E1">
        <w:rPr>
          <w:b w:val="0"/>
          <w:color w:val="auto"/>
          <w:sz w:val="22"/>
          <w:szCs w:val="22"/>
        </w:rPr>
        <w:t xml:space="preserve">direct </w:t>
      </w:r>
      <w:r w:rsidRPr="00A102C1">
        <w:rPr>
          <w:b w:val="0"/>
          <w:color w:val="auto"/>
          <w:sz w:val="22"/>
          <w:szCs w:val="22"/>
        </w:rPr>
        <w:t>rainfall volume</w:t>
      </w:r>
      <w:r>
        <w:rPr>
          <w:b w:val="0"/>
          <w:color w:val="auto"/>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87"/>
        <w:gridCol w:w="1787"/>
        <w:gridCol w:w="1787"/>
        <w:gridCol w:w="1787"/>
        <w:gridCol w:w="1786"/>
        <w:gridCol w:w="1786"/>
        <w:gridCol w:w="1786"/>
      </w:tblGrid>
      <w:tr w:rsidR="00401F72" w:rsidRPr="005C7B73" w:rsidTr="00401F72">
        <w:trPr>
          <w:trHeight w:val="765"/>
        </w:trPr>
        <w:tc>
          <w:tcPr>
            <w:tcW w:w="588" w:type="pct"/>
            <w:shd w:val="clear" w:color="auto" w:fill="auto"/>
            <w:noWrap/>
            <w:vAlign w:val="bottom"/>
            <w:hideMark/>
          </w:tcPr>
          <w:p w:rsidR="00401F72" w:rsidRPr="005C7B73" w:rsidRDefault="00401F72" w:rsidP="00401F72">
            <w:pPr>
              <w:spacing w:after="0" w:line="240" w:lineRule="auto"/>
              <w:rPr>
                <w:rFonts w:eastAsia="Times New Roman" w:cs="Times New Roman"/>
                <w:b/>
                <w:color w:val="000000"/>
              </w:rPr>
            </w:pPr>
            <w:r w:rsidRPr="005C7B73">
              <w:rPr>
                <w:rFonts w:eastAsia="Times New Roman" w:cs="Times New Roman"/>
                <w:b/>
                <w:color w:val="000000"/>
              </w:rPr>
              <w:t>Name</w:t>
            </w:r>
          </w:p>
        </w:tc>
        <w:tc>
          <w:tcPr>
            <w:tcW w:w="630" w:type="pct"/>
            <w:shd w:val="clear" w:color="auto" w:fill="auto"/>
            <w:vAlign w:val="bottom"/>
            <w:hideMark/>
          </w:tcPr>
          <w:p w:rsidR="00401F72" w:rsidRPr="005C7B73" w:rsidRDefault="00401F72" w:rsidP="00BB7896">
            <w:pPr>
              <w:spacing w:after="0" w:line="240" w:lineRule="auto"/>
              <w:rPr>
                <w:rFonts w:eastAsia="Times New Roman" w:cs="Arial"/>
                <w:b/>
                <w:color w:val="000000"/>
              </w:rPr>
            </w:pPr>
            <w:r w:rsidRPr="005C7B73">
              <w:rPr>
                <w:rFonts w:eastAsia="Times New Roman" w:cs="Arial"/>
                <w:b/>
                <w:color w:val="000000"/>
              </w:rPr>
              <w:t xml:space="preserve">Winter </w:t>
            </w:r>
            <w:r w:rsidR="00AF30E5">
              <w:rPr>
                <w:rFonts w:eastAsia="Times New Roman" w:cs="Arial"/>
                <w:b/>
                <w:color w:val="000000"/>
              </w:rPr>
              <w:t>d</w:t>
            </w:r>
            <w:r w:rsidR="00AF30E5" w:rsidRPr="005C7B73">
              <w:rPr>
                <w:rFonts w:eastAsia="Times New Roman" w:cs="Arial"/>
                <w:b/>
                <w:color w:val="000000"/>
              </w:rPr>
              <w:t xml:space="preserve">irect </w:t>
            </w:r>
            <w:r w:rsidR="00BB7896">
              <w:rPr>
                <w:rFonts w:eastAsia="Times New Roman" w:cs="Arial"/>
                <w:b/>
                <w:color w:val="000000"/>
              </w:rPr>
              <w:t>r</w:t>
            </w:r>
            <w:r w:rsidR="00BB7896" w:rsidRPr="005C7B73">
              <w:rPr>
                <w:rFonts w:eastAsia="Times New Roman" w:cs="Arial"/>
                <w:b/>
                <w:color w:val="000000"/>
              </w:rPr>
              <w:t xml:space="preserve">ainfall </w:t>
            </w:r>
            <w:r w:rsidRPr="005C7B73">
              <w:rPr>
                <w:rFonts w:eastAsia="Times New Roman" w:cs="Arial"/>
                <w:b/>
                <w:color w:val="000000"/>
              </w:rPr>
              <w:t>(m3)</w:t>
            </w:r>
          </w:p>
        </w:tc>
        <w:tc>
          <w:tcPr>
            <w:tcW w:w="630" w:type="pct"/>
            <w:shd w:val="clear" w:color="auto" w:fill="auto"/>
            <w:vAlign w:val="bottom"/>
            <w:hideMark/>
          </w:tcPr>
          <w:p w:rsidR="00401F72" w:rsidRPr="005C7B73" w:rsidRDefault="00401F72" w:rsidP="00BB7896">
            <w:pPr>
              <w:spacing w:after="0" w:line="240" w:lineRule="auto"/>
              <w:rPr>
                <w:rFonts w:eastAsia="Times New Roman" w:cs="Arial"/>
                <w:b/>
                <w:color w:val="000000"/>
              </w:rPr>
            </w:pPr>
            <w:r w:rsidRPr="005C7B73">
              <w:rPr>
                <w:rFonts w:eastAsia="Times New Roman" w:cs="Arial"/>
                <w:b/>
                <w:color w:val="000000"/>
              </w:rPr>
              <w:t>Theoretical max ditch storage (m3)</w:t>
            </w:r>
          </w:p>
        </w:tc>
        <w:tc>
          <w:tcPr>
            <w:tcW w:w="630" w:type="pct"/>
            <w:shd w:val="clear" w:color="auto" w:fill="auto"/>
            <w:noWrap/>
            <w:vAlign w:val="bottom"/>
            <w:hideMark/>
          </w:tcPr>
          <w:p w:rsidR="00401F72" w:rsidRPr="005C7B73" w:rsidRDefault="00401F72" w:rsidP="00BB7896">
            <w:pPr>
              <w:spacing w:after="0" w:line="240" w:lineRule="auto"/>
              <w:rPr>
                <w:rFonts w:eastAsia="Times New Roman" w:cs="Times New Roman"/>
                <w:b/>
                <w:color w:val="000000"/>
              </w:rPr>
            </w:pPr>
            <w:r w:rsidRPr="005C7B73">
              <w:rPr>
                <w:rFonts w:eastAsia="Times New Roman" w:cs="Times New Roman"/>
                <w:b/>
                <w:color w:val="000000"/>
              </w:rPr>
              <w:t xml:space="preserve">Theoretical max ditch storage as % of </w:t>
            </w:r>
            <w:r w:rsidR="00403975">
              <w:rPr>
                <w:rFonts w:eastAsia="Times New Roman" w:cs="Times New Roman"/>
                <w:b/>
                <w:color w:val="000000"/>
              </w:rPr>
              <w:t>w</w:t>
            </w:r>
            <w:r w:rsidR="00403975" w:rsidRPr="005C7B73">
              <w:rPr>
                <w:rFonts w:eastAsia="Times New Roman" w:cs="Times New Roman"/>
                <w:b/>
                <w:color w:val="000000"/>
              </w:rPr>
              <w:t xml:space="preserve">inter </w:t>
            </w:r>
            <w:r w:rsidRPr="005C7B73">
              <w:rPr>
                <w:rFonts w:eastAsia="Times New Roman" w:cs="Times New Roman"/>
                <w:b/>
                <w:color w:val="000000"/>
              </w:rPr>
              <w:t>rainfall</w:t>
            </w:r>
          </w:p>
        </w:tc>
        <w:tc>
          <w:tcPr>
            <w:tcW w:w="630" w:type="pct"/>
            <w:shd w:val="clear" w:color="auto" w:fill="auto"/>
            <w:noWrap/>
            <w:vAlign w:val="bottom"/>
            <w:hideMark/>
          </w:tcPr>
          <w:p w:rsidR="00401F72" w:rsidRPr="005C7B73" w:rsidRDefault="00BB7896" w:rsidP="00BB7896">
            <w:pPr>
              <w:spacing w:after="0" w:line="240" w:lineRule="auto"/>
              <w:rPr>
                <w:rFonts w:eastAsia="Times New Roman" w:cs="Times New Roman"/>
                <w:b/>
                <w:color w:val="000000"/>
              </w:rPr>
            </w:pPr>
            <w:r>
              <w:rPr>
                <w:rFonts w:eastAsia="Times New Roman" w:cs="Times New Roman"/>
                <w:b/>
                <w:color w:val="000000"/>
              </w:rPr>
              <w:t xml:space="preserve">Winter </w:t>
            </w:r>
            <w:r w:rsidR="00401F72" w:rsidRPr="005C7B73">
              <w:rPr>
                <w:rFonts w:eastAsia="Times New Roman" w:cs="Times New Roman"/>
                <w:b/>
                <w:color w:val="000000"/>
              </w:rPr>
              <w:t xml:space="preserve">ditch storage </w:t>
            </w:r>
            <w:r>
              <w:rPr>
                <w:rFonts w:eastAsia="Times New Roman" w:cs="Times New Roman"/>
                <w:b/>
                <w:color w:val="000000"/>
              </w:rPr>
              <w:t xml:space="preserve">with RWLA </w:t>
            </w:r>
            <w:r w:rsidRPr="005C7B73">
              <w:rPr>
                <w:rFonts w:eastAsia="Times New Roman" w:cs="Times New Roman"/>
                <w:b/>
                <w:color w:val="000000"/>
              </w:rPr>
              <w:t>(m3)</w:t>
            </w:r>
          </w:p>
        </w:tc>
        <w:tc>
          <w:tcPr>
            <w:tcW w:w="630" w:type="pct"/>
            <w:shd w:val="clear" w:color="auto" w:fill="auto"/>
            <w:noWrap/>
            <w:vAlign w:val="bottom"/>
            <w:hideMark/>
          </w:tcPr>
          <w:p w:rsidR="00401F72" w:rsidRPr="005C7B73" w:rsidRDefault="00BB7896" w:rsidP="00BB7896">
            <w:pPr>
              <w:spacing w:after="0" w:line="240" w:lineRule="auto"/>
              <w:rPr>
                <w:rFonts w:eastAsia="Times New Roman" w:cs="Times New Roman"/>
                <w:b/>
                <w:color w:val="000000"/>
              </w:rPr>
            </w:pPr>
            <w:r>
              <w:rPr>
                <w:rFonts w:eastAsia="Times New Roman" w:cs="Times New Roman"/>
                <w:b/>
                <w:color w:val="000000"/>
              </w:rPr>
              <w:t>Winter</w:t>
            </w:r>
            <w:r w:rsidRPr="005C7B73">
              <w:rPr>
                <w:rFonts w:eastAsia="Times New Roman" w:cs="Times New Roman"/>
                <w:b/>
                <w:color w:val="000000"/>
              </w:rPr>
              <w:t xml:space="preserve"> </w:t>
            </w:r>
            <w:r w:rsidR="00401F72" w:rsidRPr="005C7B73">
              <w:rPr>
                <w:rFonts w:eastAsia="Times New Roman" w:cs="Times New Roman"/>
                <w:b/>
                <w:color w:val="000000"/>
              </w:rPr>
              <w:t>ditch storage as % of winter rainfall</w:t>
            </w:r>
          </w:p>
        </w:tc>
        <w:tc>
          <w:tcPr>
            <w:tcW w:w="630" w:type="pct"/>
            <w:shd w:val="clear" w:color="auto" w:fill="auto"/>
            <w:noWrap/>
            <w:vAlign w:val="bottom"/>
            <w:hideMark/>
          </w:tcPr>
          <w:p w:rsidR="00401F72" w:rsidRPr="005C7B73" w:rsidRDefault="00401F72" w:rsidP="00BB7896">
            <w:pPr>
              <w:spacing w:after="0" w:line="240" w:lineRule="auto"/>
              <w:rPr>
                <w:rFonts w:eastAsia="Times New Roman" w:cs="Times New Roman"/>
                <w:b/>
                <w:color w:val="000000"/>
              </w:rPr>
            </w:pPr>
            <w:r w:rsidRPr="005C7B73">
              <w:rPr>
                <w:rFonts w:eastAsia="Times New Roman" w:cs="Times New Roman"/>
                <w:b/>
                <w:color w:val="000000"/>
              </w:rPr>
              <w:t>Summer ditch storage (m3)</w:t>
            </w:r>
          </w:p>
        </w:tc>
        <w:tc>
          <w:tcPr>
            <w:tcW w:w="630" w:type="pct"/>
            <w:shd w:val="clear" w:color="auto" w:fill="auto"/>
            <w:noWrap/>
            <w:vAlign w:val="bottom"/>
            <w:hideMark/>
          </w:tcPr>
          <w:p w:rsidR="00401F72" w:rsidRPr="005C7B73" w:rsidRDefault="00401F72" w:rsidP="00BB7896">
            <w:pPr>
              <w:spacing w:after="0" w:line="240" w:lineRule="auto"/>
              <w:rPr>
                <w:rFonts w:eastAsia="Times New Roman" w:cs="Times New Roman"/>
                <w:b/>
                <w:color w:val="000000"/>
              </w:rPr>
            </w:pPr>
            <w:r w:rsidRPr="005C7B73">
              <w:rPr>
                <w:rFonts w:eastAsia="Times New Roman" w:cs="Times New Roman"/>
                <w:b/>
                <w:color w:val="000000"/>
              </w:rPr>
              <w:t>Summer ditch storage as % of winter rainfall</w:t>
            </w:r>
          </w:p>
        </w:tc>
      </w:tr>
      <w:tr w:rsidR="00401F72" w:rsidRPr="005C7B73" w:rsidTr="00A102C1">
        <w:trPr>
          <w:trHeight w:val="624"/>
        </w:trPr>
        <w:tc>
          <w:tcPr>
            <w:tcW w:w="588" w:type="pct"/>
            <w:shd w:val="clear" w:color="auto" w:fill="auto"/>
            <w:noWrap/>
            <w:vAlign w:val="bottom"/>
            <w:hideMark/>
          </w:tcPr>
          <w:p w:rsidR="00401F72" w:rsidRPr="005C7B73" w:rsidRDefault="00401F72" w:rsidP="00A102C1">
            <w:pPr>
              <w:spacing w:after="0" w:line="240" w:lineRule="auto"/>
              <w:rPr>
                <w:rFonts w:eastAsia="Times New Roman" w:cs="Times New Roman"/>
                <w:b/>
                <w:color w:val="000000"/>
              </w:rPr>
            </w:pPr>
            <w:r w:rsidRPr="005C7B73">
              <w:rPr>
                <w:rFonts w:eastAsia="Times New Roman" w:cs="Times New Roman"/>
                <w:b/>
                <w:color w:val="000000"/>
              </w:rPr>
              <w:t>Allermoor</w:t>
            </w:r>
          </w:p>
        </w:tc>
        <w:tc>
          <w:tcPr>
            <w:tcW w:w="630" w:type="pct"/>
            <w:shd w:val="clear" w:color="auto" w:fill="auto"/>
            <w:vAlign w:val="bottom"/>
            <w:hideMark/>
          </w:tcPr>
          <w:p w:rsidR="00401F72" w:rsidRPr="005C7B73" w:rsidRDefault="00401F72" w:rsidP="00A102C1">
            <w:pPr>
              <w:spacing w:after="0" w:line="240" w:lineRule="auto"/>
              <w:jc w:val="right"/>
              <w:rPr>
                <w:rFonts w:eastAsia="Times New Roman" w:cs="Arial"/>
                <w:color w:val="000000"/>
              </w:rPr>
            </w:pPr>
            <w:r w:rsidRPr="005C7B73">
              <w:rPr>
                <w:rFonts w:eastAsia="Times New Roman" w:cs="Arial"/>
                <w:color w:val="000000"/>
              </w:rPr>
              <w:t>3627040</w:t>
            </w:r>
          </w:p>
        </w:tc>
        <w:tc>
          <w:tcPr>
            <w:tcW w:w="630" w:type="pct"/>
            <w:shd w:val="clear" w:color="auto" w:fill="auto"/>
            <w:vAlign w:val="bottom"/>
            <w:hideMark/>
          </w:tcPr>
          <w:p w:rsidR="00401F72" w:rsidRPr="005C7B73" w:rsidRDefault="00401F72" w:rsidP="00A102C1">
            <w:pPr>
              <w:spacing w:after="0" w:line="240" w:lineRule="auto"/>
              <w:jc w:val="right"/>
              <w:rPr>
                <w:rFonts w:eastAsia="Times New Roman" w:cs="Arial"/>
                <w:color w:val="000000"/>
              </w:rPr>
            </w:pPr>
            <w:r w:rsidRPr="005C7B73">
              <w:rPr>
                <w:rFonts w:eastAsia="Times New Roman" w:cs="Arial"/>
                <w:color w:val="000000"/>
              </w:rPr>
              <w:t>398172</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11.0</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392124</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10.8</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199086</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5.5</w:t>
            </w:r>
          </w:p>
        </w:tc>
      </w:tr>
      <w:tr w:rsidR="00401F72" w:rsidRPr="005C7B73" w:rsidTr="00A102C1">
        <w:trPr>
          <w:trHeight w:val="624"/>
        </w:trPr>
        <w:tc>
          <w:tcPr>
            <w:tcW w:w="588" w:type="pct"/>
            <w:shd w:val="clear" w:color="auto" w:fill="auto"/>
            <w:noWrap/>
            <w:vAlign w:val="bottom"/>
            <w:hideMark/>
          </w:tcPr>
          <w:p w:rsidR="00401F72" w:rsidRPr="005C7B73" w:rsidRDefault="00401F72" w:rsidP="00A102C1">
            <w:pPr>
              <w:spacing w:after="0" w:line="240" w:lineRule="auto"/>
              <w:rPr>
                <w:rFonts w:eastAsia="Times New Roman" w:cs="Times New Roman"/>
                <w:b/>
                <w:color w:val="000000"/>
              </w:rPr>
            </w:pPr>
            <w:r w:rsidRPr="005C7B73">
              <w:rPr>
                <w:rFonts w:eastAsia="Times New Roman" w:cs="Times New Roman"/>
                <w:b/>
                <w:color w:val="000000"/>
              </w:rPr>
              <w:t>Brue Valley North</w:t>
            </w:r>
          </w:p>
        </w:tc>
        <w:tc>
          <w:tcPr>
            <w:tcW w:w="630" w:type="pct"/>
            <w:shd w:val="clear" w:color="auto" w:fill="auto"/>
            <w:vAlign w:val="bottom"/>
            <w:hideMark/>
          </w:tcPr>
          <w:p w:rsidR="00401F72" w:rsidRPr="005C7B73" w:rsidRDefault="00401F72" w:rsidP="00A102C1">
            <w:pPr>
              <w:spacing w:after="0" w:line="240" w:lineRule="auto"/>
              <w:jc w:val="right"/>
              <w:rPr>
                <w:rFonts w:eastAsia="Times New Roman" w:cs="Arial"/>
                <w:color w:val="000000"/>
              </w:rPr>
            </w:pPr>
            <w:r w:rsidRPr="005C7B73">
              <w:rPr>
                <w:rFonts w:eastAsia="Times New Roman" w:cs="Arial"/>
                <w:color w:val="000000"/>
              </w:rPr>
              <w:t>11311010</w:t>
            </w:r>
          </w:p>
        </w:tc>
        <w:tc>
          <w:tcPr>
            <w:tcW w:w="630" w:type="pct"/>
            <w:shd w:val="clear" w:color="auto" w:fill="auto"/>
            <w:vAlign w:val="bottom"/>
            <w:hideMark/>
          </w:tcPr>
          <w:p w:rsidR="00401F72" w:rsidRPr="005C7B73" w:rsidRDefault="00401F72" w:rsidP="00A102C1">
            <w:pPr>
              <w:spacing w:after="0" w:line="240" w:lineRule="auto"/>
              <w:jc w:val="right"/>
              <w:rPr>
                <w:rFonts w:eastAsia="Times New Roman" w:cs="Arial"/>
                <w:color w:val="000000"/>
              </w:rPr>
            </w:pPr>
            <w:r w:rsidRPr="005C7B73">
              <w:rPr>
                <w:rFonts w:eastAsia="Times New Roman" w:cs="Arial"/>
                <w:color w:val="000000"/>
              </w:rPr>
              <w:t>1233696</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10.9</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1175292</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10.4</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616848</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5.5</w:t>
            </w:r>
          </w:p>
        </w:tc>
      </w:tr>
      <w:tr w:rsidR="00401F72" w:rsidRPr="005C7B73" w:rsidTr="00A102C1">
        <w:trPr>
          <w:trHeight w:val="624"/>
        </w:trPr>
        <w:tc>
          <w:tcPr>
            <w:tcW w:w="588" w:type="pct"/>
            <w:shd w:val="clear" w:color="auto" w:fill="auto"/>
            <w:noWrap/>
            <w:vAlign w:val="bottom"/>
            <w:hideMark/>
          </w:tcPr>
          <w:p w:rsidR="00401F72" w:rsidRPr="005C7B73" w:rsidRDefault="00401F72" w:rsidP="00A102C1">
            <w:pPr>
              <w:spacing w:after="0" w:line="240" w:lineRule="auto"/>
              <w:rPr>
                <w:rFonts w:eastAsia="Times New Roman" w:cs="Times New Roman"/>
                <w:b/>
                <w:color w:val="000000"/>
              </w:rPr>
            </w:pPr>
            <w:r w:rsidRPr="005C7B73">
              <w:rPr>
                <w:rFonts w:eastAsia="Times New Roman" w:cs="Times New Roman"/>
                <w:b/>
                <w:color w:val="000000"/>
              </w:rPr>
              <w:t>Brue Valley South</w:t>
            </w:r>
          </w:p>
        </w:tc>
        <w:tc>
          <w:tcPr>
            <w:tcW w:w="630" w:type="pct"/>
            <w:shd w:val="clear" w:color="auto" w:fill="auto"/>
            <w:vAlign w:val="bottom"/>
            <w:hideMark/>
          </w:tcPr>
          <w:p w:rsidR="00401F72" w:rsidRPr="005C7B73" w:rsidRDefault="00401F72" w:rsidP="00A102C1">
            <w:pPr>
              <w:spacing w:after="0" w:line="240" w:lineRule="auto"/>
              <w:jc w:val="right"/>
              <w:rPr>
                <w:rFonts w:eastAsia="Times New Roman" w:cs="Arial"/>
                <w:color w:val="000000"/>
              </w:rPr>
            </w:pPr>
            <w:r w:rsidRPr="005C7B73">
              <w:rPr>
                <w:rFonts w:eastAsia="Times New Roman" w:cs="Arial"/>
                <w:color w:val="000000"/>
              </w:rPr>
              <w:t>18126599</w:t>
            </w:r>
          </w:p>
        </w:tc>
        <w:tc>
          <w:tcPr>
            <w:tcW w:w="630" w:type="pct"/>
            <w:shd w:val="clear" w:color="auto" w:fill="auto"/>
            <w:vAlign w:val="bottom"/>
            <w:hideMark/>
          </w:tcPr>
          <w:p w:rsidR="00401F72" w:rsidRPr="005C7B73" w:rsidRDefault="00401F72" w:rsidP="00A102C1">
            <w:pPr>
              <w:spacing w:after="0" w:line="240" w:lineRule="auto"/>
              <w:jc w:val="right"/>
              <w:rPr>
                <w:rFonts w:eastAsia="Times New Roman" w:cs="Arial"/>
                <w:color w:val="000000"/>
              </w:rPr>
            </w:pPr>
            <w:r w:rsidRPr="005C7B73">
              <w:rPr>
                <w:rFonts w:eastAsia="Times New Roman" w:cs="Arial"/>
                <w:color w:val="000000"/>
              </w:rPr>
              <w:t>1621350</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8.9</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1534758</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8.5</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810675</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4.5</w:t>
            </w:r>
          </w:p>
        </w:tc>
      </w:tr>
      <w:tr w:rsidR="00401F72" w:rsidRPr="005C7B73" w:rsidTr="00817DF3">
        <w:trPr>
          <w:trHeight w:val="712"/>
        </w:trPr>
        <w:tc>
          <w:tcPr>
            <w:tcW w:w="588" w:type="pct"/>
            <w:shd w:val="clear" w:color="auto" w:fill="auto"/>
            <w:noWrap/>
            <w:vAlign w:val="bottom"/>
            <w:hideMark/>
          </w:tcPr>
          <w:p w:rsidR="00401F72" w:rsidRPr="005C7B73" w:rsidRDefault="00401F72" w:rsidP="00A102C1">
            <w:pPr>
              <w:spacing w:after="0" w:line="240" w:lineRule="auto"/>
              <w:rPr>
                <w:rFonts w:eastAsia="Times New Roman" w:cs="Times New Roman"/>
                <w:b/>
                <w:color w:val="000000"/>
              </w:rPr>
            </w:pPr>
            <w:r w:rsidRPr="005C7B73">
              <w:rPr>
                <w:rFonts w:eastAsia="Times New Roman" w:cs="Times New Roman"/>
                <w:b/>
                <w:color w:val="000000"/>
              </w:rPr>
              <w:t>Curry Moor</w:t>
            </w:r>
          </w:p>
        </w:tc>
        <w:tc>
          <w:tcPr>
            <w:tcW w:w="630" w:type="pct"/>
            <w:shd w:val="clear" w:color="auto" w:fill="auto"/>
            <w:vAlign w:val="bottom"/>
            <w:hideMark/>
          </w:tcPr>
          <w:p w:rsidR="00401F72" w:rsidRPr="005C7B73" w:rsidRDefault="00401F72" w:rsidP="00A102C1">
            <w:pPr>
              <w:spacing w:after="0" w:line="240" w:lineRule="auto"/>
              <w:jc w:val="right"/>
              <w:rPr>
                <w:rFonts w:eastAsia="Times New Roman" w:cs="Arial"/>
                <w:color w:val="000000"/>
              </w:rPr>
            </w:pPr>
            <w:r w:rsidRPr="005C7B73">
              <w:rPr>
                <w:rFonts w:eastAsia="Times New Roman" w:cs="Arial"/>
                <w:color w:val="000000"/>
              </w:rPr>
              <w:t>3855016</w:t>
            </w:r>
          </w:p>
        </w:tc>
        <w:tc>
          <w:tcPr>
            <w:tcW w:w="630" w:type="pct"/>
            <w:shd w:val="clear" w:color="auto" w:fill="auto"/>
            <w:vAlign w:val="bottom"/>
            <w:hideMark/>
          </w:tcPr>
          <w:p w:rsidR="00401F72" w:rsidRPr="005C7B73" w:rsidRDefault="00401F72" w:rsidP="00A102C1">
            <w:pPr>
              <w:spacing w:after="0" w:line="240" w:lineRule="auto"/>
              <w:jc w:val="right"/>
              <w:rPr>
                <w:rFonts w:eastAsia="Times New Roman" w:cs="Arial"/>
                <w:color w:val="000000"/>
              </w:rPr>
            </w:pPr>
            <w:r w:rsidRPr="005C7B73">
              <w:rPr>
                <w:rFonts w:eastAsia="Times New Roman" w:cs="Arial"/>
                <w:color w:val="000000"/>
              </w:rPr>
              <w:t>354576</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9.2</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352560</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9.1</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177288</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4.6</w:t>
            </w:r>
          </w:p>
        </w:tc>
      </w:tr>
      <w:tr w:rsidR="00401F72" w:rsidRPr="005C7B73" w:rsidTr="00A102C1">
        <w:trPr>
          <w:trHeight w:val="624"/>
        </w:trPr>
        <w:tc>
          <w:tcPr>
            <w:tcW w:w="588" w:type="pct"/>
            <w:shd w:val="clear" w:color="auto" w:fill="auto"/>
            <w:noWrap/>
            <w:vAlign w:val="bottom"/>
            <w:hideMark/>
          </w:tcPr>
          <w:p w:rsidR="00401F72" w:rsidRPr="005C7B73" w:rsidRDefault="00401F72" w:rsidP="00A102C1">
            <w:pPr>
              <w:spacing w:after="0" w:line="240" w:lineRule="auto"/>
              <w:rPr>
                <w:rFonts w:eastAsia="Times New Roman" w:cs="Times New Roman"/>
                <w:b/>
                <w:color w:val="000000"/>
              </w:rPr>
            </w:pPr>
            <w:r w:rsidRPr="005C7B73">
              <w:rPr>
                <w:rFonts w:eastAsia="Times New Roman" w:cs="Times New Roman"/>
                <w:b/>
                <w:color w:val="000000"/>
              </w:rPr>
              <w:t>Kings Sedgemoor</w:t>
            </w:r>
          </w:p>
        </w:tc>
        <w:tc>
          <w:tcPr>
            <w:tcW w:w="630" w:type="pct"/>
            <w:shd w:val="clear" w:color="auto" w:fill="auto"/>
            <w:vAlign w:val="bottom"/>
            <w:hideMark/>
          </w:tcPr>
          <w:p w:rsidR="00401F72" w:rsidRPr="005C7B73" w:rsidRDefault="00401F72" w:rsidP="00A102C1">
            <w:pPr>
              <w:spacing w:after="0" w:line="240" w:lineRule="auto"/>
              <w:jc w:val="right"/>
              <w:rPr>
                <w:rFonts w:eastAsia="Times New Roman" w:cs="Arial"/>
                <w:color w:val="000000"/>
              </w:rPr>
            </w:pPr>
            <w:r w:rsidRPr="005C7B73">
              <w:rPr>
                <w:rFonts w:eastAsia="Times New Roman" w:cs="Arial"/>
                <w:color w:val="000000"/>
              </w:rPr>
              <w:t>17476299</w:t>
            </w:r>
          </w:p>
        </w:tc>
        <w:tc>
          <w:tcPr>
            <w:tcW w:w="630" w:type="pct"/>
            <w:shd w:val="clear" w:color="auto" w:fill="auto"/>
            <w:vAlign w:val="bottom"/>
            <w:hideMark/>
          </w:tcPr>
          <w:p w:rsidR="00401F72" w:rsidRPr="005C7B73" w:rsidRDefault="00401F72" w:rsidP="00A102C1">
            <w:pPr>
              <w:spacing w:after="0" w:line="240" w:lineRule="auto"/>
              <w:jc w:val="right"/>
              <w:rPr>
                <w:rFonts w:eastAsia="Times New Roman" w:cs="Arial"/>
                <w:color w:val="000000"/>
              </w:rPr>
            </w:pPr>
            <w:r w:rsidRPr="005C7B73">
              <w:rPr>
                <w:rFonts w:eastAsia="Times New Roman" w:cs="Arial"/>
                <w:color w:val="000000"/>
              </w:rPr>
              <w:t>1778952</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10.2</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1606434</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9.2</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889476</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5.1</w:t>
            </w:r>
          </w:p>
        </w:tc>
      </w:tr>
      <w:tr w:rsidR="00401F72" w:rsidRPr="005C7B73" w:rsidTr="00817DF3">
        <w:trPr>
          <w:trHeight w:val="630"/>
        </w:trPr>
        <w:tc>
          <w:tcPr>
            <w:tcW w:w="588" w:type="pct"/>
            <w:shd w:val="clear" w:color="auto" w:fill="auto"/>
            <w:noWrap/>
            <w:vAlign w:val="bottom"/>
            <w:hideMark/>
          </w:tcPr>
          <w:p w:rsidR="00401F72" w:rsidRPr="005C7B73" w:rsidRDefault="00401F72" w:rsidP="00A102C1">
            <w:pPr>
              <w:spacing w:after="0" w:line="240" w:lineRule="auto"/>
              <w:rPr>
                <w:rFonts w:eastAsia="Times New Roman" w:cs="Times New Roman"/>
                <w:b/>
                <w:color w:val="000000"/>
              </w:rPr>
            </w:pPr>
            <w:r w:rsidRPr="005C7B73">
              <w:rPr>
                <w:rFonts w:eastAsia="Times New Roman" w:cs="Times New Roman"/>
                <w:b/>
                <w:color w:val="000000"/>
              </w:rPr>
              <w:t>North Moor</w:t>
            </w:r>
          </w:p>
        </w:tc>
        <w:tc>
          <w:tcPr>
            <w:tcW w:w="630" w:type="pct"/>
            <w:shd w:val="clear" w:color="auto" w:fill="auto"/>
            <w:vAlign w:val="bottom"/>
            <w:hideMark/>
          </w:tcPr>
          <w:p w:rsidR="00401F72" w:rsidRPr="005C7B73" w:rsidRDefault="00401F72" w:rsidP="00A102C1">
            <w:pPr>
              <w:spacing w:after="0" w:line="240" w:lineRule="auto"/>
              <w:jc w:val="right"/>
              <w:rPr>
                <w:rFonts w:eastAsia="Times New Roman" w:cs="Arial"/>
                <w:color w:val="000000"/>
              </w:rPr>
            </w:pPr>
            <w:r w:rsidRPr="005C7B73">
              <w:rPr>
                <w:rFonts w:eastAsia="Times New Roman" w:cs="Arial"/>
                <w:color w:val="000000"/>
              </w:rPr>
              <w:t>7077577</w:t>
            </w:r>
          </w:p>
        </w:tc>
        <w:tc>
          <w:tcPr>
            <w:tcW w:w="630" w:type="pct"/>
            <w:shd w:val="clear" w:color="auto" w:fill="auto"/>
            <w:vAlign w:val="bottom"/>
            <w:hideMark/>
          </w:tcPr>
          <w:p w:rsidR="00401F72" w:rsidRPr="005C7B73" w:rsidRDefault="00401F72" w:rsidP="00A102C1">
            <w:pPr>
              <w:spacing w:after="0" w:line="240" w:lineRule="auto"/>
              <w:jc w:val="right"/>
              <w:rPr>
                <w:rFonts w:eastAsia="Times New Roman" w:cs="Arial"/>
                <w:color w:val="000000"/>
              </w:rPr>
            </w:pPr>
            <w:r w:rsidRPr="005C7B73">
              <w:rPr>
                <w:rFonts w:eastAsia="Times New Roman" w:cs="Arial"/>
                <w:color w:val="000000"/>
              </w:rPr>
              <w:t>702774</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9.9</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652002</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9.2</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351387</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5.0</w:t>
            </w:r>
          </w:p>
        </w:tc>
      </w:tr>
      <w:tr w:rsidR="00401F72" w:rsidRPr="005C7B73" w:rsidTr="00817DF3">
        <w:trPr>
          <w:trHeight w:val="553"/>
        </w:trPr>
        <w:tc>
          <w:tcPr>
            <w:tcW w:w="588" w:type="pct"/>
            <w:shd w:val="clear" w:color="auto" w:fill="auto"/>
            <w:noWrap/>
            <w:vAlign w:val="bottom"/>
            <w:hideMark/>
          </w:tcPr>
          <w:p w:rsidR="00401F72" w:rsidRPr="005C7B73" w:rsidRDefault="00401F72" w:rsidP="00A102C1">
            <w:pPr>
              <w:spacing w:after="0" w:line="240" w:lineRule="auto"/>
              <w:rPr>
                <w:rFonts w:eastAsia="Times New Roman" w:cs="Times New Roman"/>
                <w:b/>
                <w:color w:val="000000"/>
              </w:rPr>
            </w:pPr>
            <w:r w:rsidRPr="005C7B73">
              <w:rPr>
                <w:rFonts w:eastAsia="Times New Roman" w:cs="Times New Roman"/>
                <w:b/>
                <w:color w:val="000000"/>
              </w:rPr>
              <w:t>Southlake</w:t>
            </w:r>
          </w:p>
        </w:tc>
        <w:tc>
          <w:tcPr>
            <w:tcW w:w="630" w:type="pct"/>
            <w:shd w:val="clear" w:color="auto" w:fill="auto"/>
            <w:vAlign w:val="bottom"/>
            <w:hideMark/>
          </w:tcPr>
          <w:p w:rsidR="00401F72" w:rsidRPr="005C7B73" w:rsidRDefault="00401F72" w:rsidP="00A102C1">
            <w:pPr>
              <w:spacing w:after="0" w:line="240" w:lineRule="auto"/>
              <w:jc w:val="right"/>
              <w:rPr>
                <w:rFonts w:eastAsia="Times New Roman" w:cs="Arial"/>
                <w:color w:val="000000"/>
              </w:rPr>
            </w:pPr>
            <w:r w:rsidRPr="005C7B73">
              <w:rPr>
                <w:rFonts w:eastAsia="Times New Roman" w:cs="Arial"/>
                <w:color w:val="000000"/>
              </w:rPr>
              <w:t>820820</w:t>
            </w:r>
          </w:p>
        </w:tc>
        <w:tc>
          <w:tcPr>
            <w:tcW w:w="630" w:type="pct"/>
            <w:shd w:val="clear" w:color="auto" w:fill="auto"/>
            <w:vAlign w:val="bottom"/>
            <w:hideMark/>
          </w:tcPr>
          <w:p w:rsidR="00401F72" w:rsidRPr="005C7B73" w:rsidRDefault="00401F72" w:rsidP="00A102C1">
            <w:pPr>
              <w:spacing w:after="0" w:line="240" w:lineRule="auto"/>
              <w:jc w:val="right"/>
              <w:rPr>
                <w:rFonts w:eastAsia="Times New Roman" w:cs="Arial"/>
                <w:color w:val="000000"/>
              </w:rPr>
            </w:pPr>
            <w:r w:rsidRPr="005C7B73">
              <w:rPr>
                <w:rFonts w:eastAsia="Times New Roman" w:cs="Arial"/>
                <w:color w:val="000000"/>
              </w:rPr>
              <w:t>108156</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13.2</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19206</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2.3</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54078</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6.6</w:t>
            </w:r>
          </w:p>
        </w:tc>
      </w:tr>
      <w:tr w:rsidR="00401F72" w:rsidRPr="005C7B73" w:rsidTr="00817DF3">
        <w:trPr>
          <w:trHeight w:val="561"/>
        </w:trPr>
        <w:tc>
          <w:tcPr>
            <w:tcW w:w="588" w:type="pct"/>
            <w:shd w:val="clear" w:color="auto" w:fill="auto"/>
            <w:noWrap/>
            <w:vAlign w:val="bottom"/>
            <w:hideMark/>
          </w:tcPr>
          <w:p w:rsidR="00401F72" w:rsidRPr="005C7B73" w:rsidRDefault="00401F72" w:rsidP="00A102C1">
            <w:pPr>
              <w:spacing w:after="0" w:line="240" w:lineRule="auto"/>
              <w:rPr>
                <w:rFonts w:eastAsia="Times New Roman" w:cs="Times New Roman"/>
                <w:b/>
                <w:color w:val="000000"/>
              </w:rPr>
            </w:pPr>
            <w:r w:rsidRPr="005C7B73">
              <w:rPr>
                <w:rFonts w:eastAsia="Times New Roman" w:cs="Times New Roman"/>
                <w:b/>
                <w:color w:val="000000"/>
              </w:rPr>
              <w:t>West Moor</w:t>
            </w:r>
          </w:p>
        </w:tc>
        <w:tc>
          <w:tcPr>
            <w:tcW w:w="630" w:type="pct"/>
            <w:shd w:val="clear" w:color="auto" w:fill="auto"/>
            <w:vAlign w:val="bottom"/>
            <w:hideMark/>
          </w:tcPr>
          <w:p w:rsidR="00401F72" w:rsidRPr="005C7B73" w:rsidRDefault="00401F72" w:rsidP="00A102C1">
            <w:pPr>
              <w:spacing w:after="0" w:line="240" w:lineRule="auto"/>
              <w:jc w:val="right"/>
              <w:rPr>
                <w:rFonts w:eastAsia="Times New Roman" w:cs="Arial"/>
                <w:color w:val="000000"/>
              </w:rPr>
            </w:pPr>
            <w:r w:rsidRPr="005C7B73">
              <w:rPr>
                <w:rFonts w:eastAsia="Times New Roman" w:cs="Arial"/>
                <w:color w:val="000000"/>
              </w:rPr>
              <w:t>2533972</w:t>
            </w:r>
          </w:p>
        </w:tc>
        <w:tc>
          <w:tcPr>
            <w:tcW w:w="630" w:type="pct"/>
            <w:shd w:val="clear" w:color="auto" w:fill="auto"/>
            <w:vAlign w:val="bottom"/>
            <w:hideMark/>
          </w:tcPr>
          <w:p w:rsidR="00401F72" w:rsidRPr="005C7B73" w:rsidRDefault="00401F72" w:rsidP="00A102C1">
            <w:pPr>
              <w:spacing w:after="0" w:line="240" w:lineRule="auto"/>
              <w:jc w:val="right"/>
              <w:rPr>
                <w:rFonts w:eastAsia="Times New Roman" w:cs="Arial"/>
                <w:color w:val="000000"/>
              </w:rPr>
            </w:pPr>
            <w:r w:rsidRPr="005C7B73">
              <w:rPr>
                <w:rFonts w:eastAsia="Times New Roman" w:cs="Arial"/>
                <w:color w:val="000000"/>
              </w:rPr>
              <w:t>216798</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8.6</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181242</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7.2</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108399</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4.3</w:t>
            </w:r>
          </w:p>
        </w:tc>
      </w:tr>
      <w:tr w:rsidR="00401F72" w:rsidRPr="005C7B73" w:rsidTr="00A102C1">
        <w:trPr>
          <w:trHeight w:val="624"/>
        </w:trPr>
        <w:tc>
          <w:tcPr>
            <w:tcW w:w="588" w:type="pct"/>
            <w:shd w:val="clear" w:color="auto" w:fill="auto"/>
            <w:noWrap/>
            <w:vAlign w:val="bottom"/>
            <w:hideMark/>
          </w:tcPr>
          <w:p w:rsidR="00401F72" w:rsidRPr="005C7B73" w:rsidRDefault="00401F72" w:rsidP="00A102C1">
            <w:pPr>
              <w:spacing w:after="0" w:line="240" w:lineRule="auto"/>
              <w:rPr>
                <w:rFonts w:eastAsia="Times New Roman" w:cs="Times New Roman"/>
                <w:b/>
                <w:color w:val="000000"/>
              </w:rPr>
            </w:pPr>
            <w:r w:rsidRPr="005C7B73">
              <w:rPr>
                <w:rFonts w:eastAsia="Times New Roman" w:cs="Times New Roman"/>
                <w:b/>
                <w:color w:val="000000"/>
              </w:rPr>
              <w:t>West Sedgemoor</w:t>
            </w:r>
          </w:p>
        </w:tc>
        <w:tc>
          <w:tcPr>
            <w:tcW w:w="630" w:type="pct"/>
            <w:shd w:val="clear" w:color="auto" w:fill="auto"/>
            <w:vAlign w:val="bottom"/>
            <w:hideMark/>
          </w:tcPr>
          <w:p w:rsidR="00401F72" w:rsidRPr="005C7B73" w:rsidRDefault="00401F72" w:rsidP="00A102C1">
            <w:pPr>
              <w:spacing w:after="0" w:line="240" w:lineRule="auto"/>
              <w:jc w:val="right"/>
              <w:rPr>
                <w:rFonts w:eastAsia="Times New Roman" w:cs="Arial"/>
                <w:color w:val="000000"/>
              </w:rPr>
            </w:pPr>
            <w:r w:rsidRPr="005C7B73">
              <w:rPr>
                <w:rFonts w:eastAsia="Times New Roman" w:cs="Arial"/>
                <w:color w:val="000000"/>
              </w:rPr>
              <w:t>7601846</w:t>
            </w:r>
          </w:p>
        </w:tc>
        <w:tc>
          <w:tcPr>
            <w:tcW w:w="630" w:type="pct"/>
            <w:shd w:val="clear" w:color="auto" w:fill="auto"/>
            <w:vAlign w:val="bottom"/>
            <w:hideMark/>
          </w:tcPr>
          <w:p w:rsidR="00401F72" w:rsidRPr="005C7B73" w:rsidRDefault="00401F72" w:rsidP="00A102C1">
            <w:pPr>
              <w:spacing w:after="0" w:line="240" w:lineRule="auto"/>
              <w:jc w:val="right"/>
              <w:rPr>
                <w:rFonts w:eastAsia="Times New Roman" w:cs="Arial"/>
                <w:color w:val="000000"/>
              </w:rPr>
            </w:pPr>
            <w:r w:rsidRPr="005C7B73">
              <w:rPr>
                <w:rFonts w:eastAsia="Times New Roman" w:cs="Arial"/>
                <w:color w:val="000000"/>
              </w:rPr>
              <w:t>638778</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8.4</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490284</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6.4</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319389</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4.2</w:t>
            </w:r>
          </w:p>
        </w:tc>
      </w:tr>
      <w:tr w:rsidR="00401F72" w:rsidRPr="005C7B73" w:rsidTr="00A102C1">
        <w:trPr>
          <w:trHeight w:val="624"/>
        </w:trPr>
        <w:tc>
          <w:tcPr>
            <w:tcW w:w="588" w:type="pct"/>
            <w:shd w:val="clear" w:color="auto" w:fill="auto"/>
            <w:noWrap/>
            <w:vAlign w:val="bottom"/>
            <w:hideMark/>
          </w:tcPr>
          <w:p w:rsidR="00401F72" w:rsidRPr="005C7B73" w:rsidRDefault="00401F72" w:rsidP="00A102C1">
            <w:pPr>
              <w:spacing w:after="0" w:line="240" w:lineRule="auto"/>
              <w:rPr>
                <w:rFonts w:eastAsia="Times New Roman" w:cs="Times New Roman"/>
                <w:b/>
                <w:color w:val="000000"/>
              </w:rPr>
            </w:pPr>
            <w:r w:rsidRPr="005C7B73">
              <w:rPr>
                <w:rFonts w:eastAsia="Times New Roman" w:cs="Times New Roman"/>
                <w:b/>
                <w:color w:val="000000"/>
              </w:rPr>
              <w:t>Wet Moor</w:t>
            </w:r>
          </w:p>
        </w:tc>
        <w:tc>
          <w:tcPr>
            <w:tcW w:w="630" w:type="pct"/>
            <w:shd w:val="clear" w:color="auto" w:fill="auto"/>
            <w:vAlign w:val="bottom"/>
            <w:hideMark/>
          </w:tcPr>
          <w:p w:rsidR="00401F72" w:rsidRPr="005C7B73" w:rsidRDefault="00401F72" w:rsidP="00A102C1">
            <w:pPr>
              <w:spacing w:after="0" w:line="240" w:lineRule="auto"/>
              <w:jc w:val="right"/>
              <w:rPr>
                <w:rFonts w:eastAsia="Times New Roman" w:cs="Arial"/>
                <w:color w:val="000000"/>
              </w:rPr>
            </w:pPr>
            <w:r w:rsidRPr="005C7B73">
              <w:rPr>
                <w:rFonts w:eastAsia="Times New Roman" w:cs="Arial"/>
                <w:color w:val="000000"/>
              </w:rPr>
              <w:t>6895849</w:t>
            </w:r>
          </w:p>
        </w:tc>
        <w:tc>
          <w:tcPr>
            <w:tcW w:w="630" w:type="pct"/>
            <w:shd w:val="clear" w:color="auto" w:fill="auto"/>
            <w:vAlign w:val="bottom"/>
            <w:hideMark/>
          </w:tcPr>
          <w:p w:rsidR="00401F72" w:rsidRPr="005C7B73" w:rsidRDefault="00401F72" w:rsidP="00A102C1">
            <w:pPr>
              <w:spacing w:after="0" w:line="240" w:lineRule="auto"/>
              <w:jc w:val="right"/>
              <w:rPr>
                <w:rFonts w:eastAsia="Times New Roman" w:cs="Arial"/>
                <w:color w:val="000000"/>
              </w:rPr>
            </w:pPr>
            <w:r w:rsidRPr="005C7B73">
              <w:rPr>
                <w:rFonts w:eastAsia="Times New Roman" w:cs="Arial"/>
                <w:color w:val="000000"/>
              </w:rPr>
              <w:t>481626</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7.0</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351480</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5.1</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240813</w:t>
            </w:r>
          </w:p>
        </w:tc>
        <w:tc>
          <w:tcPr>
            <w:tcW w:w="630" w:type="pct"/>
            <w:shd w:val="clear" w:color="auto" w:fill="auto"/>
            <w:noWrap/>
            <w:vAlign w:val="bottom"/>
            <w:hideMark/>
          </w:tcPr>
          <w:p w:rsidR="00401F72" w:rsidRPr="005C7B73" w:rsidRDefault="00401F72" w:rsidP="00A102C1">
            <w:pPr>
              <w:spacing w:after="0" w:line="240" w:lineRule="auto"/>
              <w:jc w:val="right"/>
              <w:rPr>
                <w:rFonts w:eastAsia="Times New Roman" w:cs="Times New Roman"/>
                <w:color w:val="000000"/>
              </w:rPr>
            </w:pPr>
            <w:r w:rsidRPr="005C7B73">
              <w:rPr>
                <w:rFonts w:eastAsia="Times New Roman" w:cs="Times New Roman"/>
                <w:color w:val="000000"/>
              </w:rPr>
              <w:t>3.5</w:t>
            </w:r>
          </w:p>
        </w:tc>
      </w:tr>
      <w:tr w:rsidR="007146EA" w:rsidRPr="005C7B73" w:rsidTr="00A102C1">
        <w:trPr>
          <w:trHeight w:val="624"/>
        </w:trPr>
        <w:tc>
          <w:tcPr>
            <w:tcW w:w="588" w:type="pct"/>
            <w:shd w:val="clear" w:color="auto" w:fill="auto"/>
            <w:noWrap/>
            <w:vAlign w:val="bottom"/>
            <w:hideMark/>
          </w:tcPr>
          <w:p w:rsidR="007146EA" w:rsidRPr="005C7B73" w:rsidRDefault="007146EA" w:rsidP="00A102C1">
            <w:pPr>
              <w:spacing w:after="0" w:line="240" w:lineRule="auto"/>
              <w:rPr>
                <w:rFonts w:eastAsia="Times New Roman" w:cs="Times New Roman"/>
                <w:b/>
                <w:color w:val="000000"/>
              </w:rPr>
            </w:pPr>
            <w:r>
              <w:rPr>
                <w:rFonts w:eastAsia="Times New Roman" w:cs="Times New Roman"/>
                <w:b/>
                <w:color w:val="000000"/>
              </w:rPr>
              <w:t>Average all areas</w:t>
            </w:r>
          </w:p>
        </w:tc>
        <w:tc>
          <w:tcPr>
            <w:tcW w:w="630" w:type="pct"/>
            <w:shd w:val="clear" w:color="auto" w:fill="auto"/>
            <w:vAlign w:val="bottom"/>
            <w:hideMark/>
          </w:tcPr>
          <w:p w:rsidR="007146EA" w:rsidRPr="005C7B73" w:rsidRDefault="007146EA" w:rsidP="00A102C1">
            <w:pPr>
              <w:spacing w:after="0" w:line="240" w:lineRule="auto"/>
              <w:jc w:val="right"/>
              <w:rPr>
                <w:rFonts w:eastAsia="Times New Roman" w:cs="Arial"/>
                <w:color w:val="000000"/>
              </w:rPr>
            </w:pPr>
          </w:p>
        </w:tc>
        <w:tc>
          <w:tcPr>
            <w:tcW w:w="630" w:type="pct"/>
            <w:shd w:val="clear" w:color="auto" w:fill="auto"/>
            <w:vAlign w:val="bottom"/>
            <w:hideMark/>
          </w:tcPr>
          <w:p w:rsidR="007146EA" w:rsidRPr="005C7B73" w:rsidRDefault="007146EA" w:rsidP="00A102C1">
            <w:pPr>
              <w:spacing w:after="0" w:line="240" w:lineRule="auto"/>
              <w:jc w:val="right"/>
              <w:rPr>
                <w:rFonts w:eastAsia="Times New Roman" w:cs="Arial"/>
                <w:color w:val="000000"/>
              </w:rPr>
            </w:pPr>
          </w:p>
        </w:tc>
        <w:tc>
          <w:tcPr>
            <w:tcW w:w="630" w:type="pct"/>
            <w:shd w:val="clear" w:color="auto" w:fill="auto"/>
            <w:noWrap/>
            <w:vAlign w:val="bottom"/>
            <w:hideMark/>
          </w:tcPr>
          <w:p w:rsidR="007146EA" w:rsidRPr="005C7B73" w:rsidRDefault="007146EA" w:rsidP="00A102C1">
            <w:pPr>
              <w:spacing w:after="0" w:line="240" w:lineRule="auto"/>
              <w:jc w:val="right"/>
              <w:rPr>
                <w:rFonts w:eastAsia="Times New Roman" w:cs="Times New Roman"/>
                <w:color w:val="000000"/>
              </w:rPr>
            </w:pPr>
            <w:r>
              <w:rPr>
                <w:rFonts w:eastAsia="Times New Roman" w:cs="Times New Roman"/>
                <w:color w:val="000000"/>
              </w:rPr>
              <w:t>9.7</w:t>
            </w:r>
          </w:p>
        </w:tc>
        <w:tc>
          <w:tcPr>
            <w:tcW w:w="630" w:type="pct"/>
            <w:shd w:val="clear" w:color="auto" w:fill="auto"/>
            <w:noWrap/>
            <w:vAlign w:val="bottom"/>
            <w:hideMark/>
          </w:tcPr>
          <w:p w:rsidR="007146EA" w:rsidRPr="005C7B73" w:rsidRDefault="007146EA" w:rsidP="00A102C1">
            <w:pPr>
              <w:spacing w:after="0" w:line="240" w:lineRule="auto"/>
              <w:jc w:val="right"/>
              <w:rPr>
                <w:rFonts w:eastAsia="Times New Roman" w:cs="Times New Roman"/>
                <w:color w:val="000000"/>
              </w:rPr>
            </w:pPr>
          </w:p>
        </w:tc>
        <w:tc>
          <w:tcPr>
            <w:tcW w:w="630" w:type="pct"/>
            <w:shd w:val="clear" w:color="auto" w:fill="auto"/>
            <w:noWrap/>
            <w:vAlign w:val="bottom"/>
            <w:hideMark/>
          </w:tcPr>
          <w:p w:rsidR="007146EA" w:rsidRPr="005C7B73" w:rsidRDefault="007146EA" w:rsidP="00A102C1">
            <w:pPr>
              <w:spacing w:after="0" w:line="240" w:lineRule="auto"/>
              <w:jc w:val="right"/>
              <w:rPr>
                <w:rFonts w:eastAsia="Times New Roman" w:cs="Times New Roman"/>
                <w:color w:val="000000"/>
              </w:rPr>
            </w:pPr>
            <w:r>
              <w:rPr>
                <w:rFonts w:eastAsia="Times New Roman" w:cs="Times New Roman"/>
                <w:color w:val="000000"/>
              </w:rPr>
              <w:t>7.8</w:t>
            </w:r>
          </w:p>
        </w:tc>
        <w:tc>
          <w:tcPr>
            <w:tcW w:w="630" w:type="pct"/>
            <w:shd w:val="clear" w:color="auto" w:fill="auto"/>
            <w:noWrap/>
            <w:vAlign w:val="bottom"/>
            <w:hideMark/>
          </w:tcPr>
          <w:p w:rsidR="007146EA" w:rsidRPr="005C7B73" w:rsidRDefault="007146EA" w:rsidP="00A102C1">
            <w:pPr>
              <w:spacing w:after="0" w:line="240" w:lineRule="auto"/>
              <w:jc w:val="right"/>
              <w:rPr>
                <w:rFonts w:eastAsia="Times New Roman" w:cs="Times New Roman"/>
                <w:color w:val="000000"/>
              </w:rPr>
            </w:pPr>
          </w:p>
        </w:tc>
        <w:tc>
          <w:tcPr>
            <w:tcW w:w="630" w:type="pct"/>
            <w:shd w:val="clear" w:color="auto" w:fill="auto"/>
            <w:noWrap/>
            <w:vAlign w:val="bottom"/>
            <w:hideMark/>
          </w:tcPr>
          <w:p w:rsidR="007146EA" w:rsidRPr="005C7B73" w:rsidRDefault="007146EA" w:rsidP="00A102C1">
            <w:pPr>
              <w:spacing w:after="0" w:line="240" w:lineRule="auto"/>
              <w:jc w:val="right"/>
              <w:rPr>
                <w:rFonts w:eastAsia="Times New Roman" w:cs="Times New Roman"/>
                <w:color w:val="000000"/>
              </w:rPr>
            </w:pPr>
            <w:r>
              <w:rPr>
                <w:rFonts w:eastAsia="Times New Roman" w:cs="Times New Roman"/>
                <w:color w:val="000000"/>
              </w:rPr>
              <w:t>4.9</w:t>
            </w:r>
          </w:p>
        </w:tc>
      </w:tr>
    </w:tbl>
    <w:p w:rsidR="00401F72" w:rsidRDefault="00401F72" w:rsidP="00AD7758">
      <w:pPr>
        <w:rPr>
          <w:b/>
        </w:rPr>
      </w:pPr>
    </w:p>
    <w:p w:rsidR="00401F72" w:rsidRDefault="00401F72" w:rsidP="00AD7758"/>
    <w:p w:rsidR="00A102C1" w:rsidRDefault="00401F72" w:rsidP="00A102C1">
      <w:pPr>
        <w:keepNext/>
      </w:pPr>
      <w:r w:rsidRPr="00401F72">
        <w:rPr>
          <w:noProof/>
        </w:rPr>
        <w:drawing>
          <wp:inline distT="0" distB="0" distL="0" distR="0">
            <wp:extent cx="8753475" cy="4876800"/>
            <wp:effectExtent l="19050" t="0" r="9525"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D7758" w:rsidRDefault="00A102C1" w:rsidP="00A3188B">
      <w:pPr>
        <w:pStyle w:val="Caption"/>
      </w:pPr>
      <w:r w:rsidRPr="00A102C1">
        <w:rPr>
          <w:b w:val="0"/>
          <w:color w:val="auto"/>
          <w:sz w:val="22"/>
          <w:szCs w:val="22"/>
        </w:rPr>
        <w:t xml:space="preserve">Figure </w:t>
      </w:r>
      <w:r w:rsidR="00251534" w:rsidRPr="00A102C1">
        <w:rPr>
          <w:b w:val="0"/>
          <w:color w:val="auto"/>
          <w:sz w:val="22"/>
          <w:szCs w:val="22"/>
        </w:rPr>
        <w:fldChar w:fldCharType="begin"/>
      </w:r>
      <w:r w:rsidRPr="00A102C1">
        <w:rPr>
          <w:b w:val="0"/>
          <w:color w:val="auto"/>
          <w:sz w:val="22"/>
          <w:szCs w:val="22"/>
        </w:rPr>
        <w:instrText xml:space="preserve"> SEQ Figure \* ARABIC </w:instrText>
      </w:r>
      <w:r w:rsidR="00251534" w:rsidRPr="00A102C1">
        <w:rPr>
          <w:b w:val="0"/>
          <w:color w:val="auto"/>
          <w:sz w:val="22"/>
          <w:szCs w:val="22"/>
        </w:rPr>
        <w:fldChar w:fldCharType="separate"/>
      </w:r>
      <w:r w:rsidR="000E193B">
        <w:rPr>
          <w:b w:val="0"/>
          <w:noProof/>
          <w:color w:val="auto"/>
          <w:sz w:val="22"/>
          <w:szCs w:val="22"/>
        </w:rPr>
        <w:t>13</w:t>
      </w:r>
      <w:r w:rsidR="00251534" w:rsidRPr="00A102C1">
        <w:rPr>
          <w:b w:val="0"/>
          <w:color w:val="auto"/>
          <w:sz w:val="22"/>
          <w:szCs w:val="22"/>
        </w:rPr>
        <w:fldChar w:fldCharType="end"/>
      </w:r>
      <w:r w:rsidR="00F54328">
        <w:rPr>
          <w:b w:val="0"/>
          <w:color w:val="auto"/>
          <w:sz w:val="22"/>
          <w:szCs w:val="22"/>
        </w:rPr>
        <w:t>.</w:t>
      </w:r>
      <w:r w:rsidRPr="00A102C1">
        <w:rPr>
          <w:b w:val="0"/>
          <w:color w:val="auto"/>
          <w:sz w:val="22"/>
          <w:szCs w:val="22"/>
        </w:rPr>
        <w:t xml:space="preserve"> Winter 13/14 total </w:t>
      </w:r>
      <w:r w:rsidR="007719E1">
        <w:rPr>
          <w:b w:val="0"/>
          <w:color w:val="auto"/>
          <w:sz w:val="22"/>
          <w:szCs w:val="22"/>
        </w:rPr>
        <w:t xml:space="preserve">direct </w:t>
      </w:r>
      <w:r w:rsidRPr="00A102C1">
        <w:rPr>
          <w:b w:val="0"/>
          <w:color w:val="auto"/>
          <w:sz w:val="22"/>
          <w:szCs w:val="22"/>
        </w:rPr>
        <w:t xml:space="preserve">rainfall volume for each WLMP area. The total ditch storage for each of the three </w:t>
      </w:r>
      <w:r w:rsidR="007719E1">
        <w:rPr>
          <w:b w:val="0"/>
          <w:color w:val="auto"/>
          <w:sz w:val="22"/>
          <w:szCs w:val="22"/>
        </w:rPr>
        <w:t>water level management conditions</w:t>
      </w:r>
      <w:r w:rsidRPr="00A102C1">
        <w:rPr>
          <w:b w:val="0"/>
          <w:color w:val="auto"/>
          <w:sz w:val="22"/>
          <w:szCs w:val="22"/>
        </w:rPr>
        <w:t xml:space="preserve"> is expressed as a percentage of the total winter rainfall volume.</w:t>
      </w:r>
    </w:p>
    <w:p w:rsidR="00AD7758" w:rsidRPr="00AD7758" w:rsidRDefault="00AD7758" w:rsidP="00AD7758">
      <w:pPr>
        <w:sectPr w:rsidR="00AD7758" w:rsidRPr="00AD7758" w:rsidSect="00407340">
          <w:pgSz w:w="16838" w:h="11906" w:orient="landscape"/>
          <w:pgMar w:top="1440" w:right="1440" w:bottom="1440" w:left="1440" w:header="708" w:footer="708" w:gutter="0"/>
          <w:cols w:space="708"/>
          <w:docGrid w:linePitch="360"/>
        </w:sectPr>
      </w:pPr>
    </w:p>
    <w:p w:rsidR="00331EBD" w:rsidRDefault="00331EBD" w:rsidP="00331EBD">
      <w:pPr>
        <w:pStyle w:val="Heading2"/>
        <w:numPr>
          <w:ilvl w:val="0"/>
          <w:numId w:val="16"/>
        </w:numPr>
      </w:pPr>
      <w:bookmarkStart w:id="14" w:name="_Toc402956181"/>
      <w:r>
        <w:lastRenderedPageBreak/>
        <w:t>Results and analysis</w:t>
      </w:r>
      <w:bookmarkEnd w:id="14"/>
    </w:p>
    <w:p w:rsidR="00F61127" w:rsidRDefault="00F61127" w:rsidP="00994CB4">
      <w:pPr>
        <w:jc w:val="both"/>
      </w:pPr>
    </w:p>
    <w:p w:rsidR="00F61127" w:rsidRPr="00817DF3" w:rsidRDefault="00F61127" w:rsidP="00994CB4">
      <w:pPr>
        <w:jc w:val="both"/>
      </w:pPr>
      <w:r>
        <w:t>Land managed as RWLA in winter covers 2529 ha or 13.1% of all WLMP areas and incorporate</w:t>
      </w:r>
      <w:r w:rsidR="006E0880">
        <w:t>s</w:t>
      </w:r>
      <w:r>
        <w:t xml:space="preserve"> 264 km, or 10.9%, of all watercourses. The maximum theoretical </w:t>
      </w:r>
      <w:r w:rsidR="00BB088B">
        <w:t xml:space="preserve">ditch </w:t>
      </w:r>
      <w:r>
        <w:t>storage across all WLMP areas is 7,534,878 m</w:t>
      </w:r>
      <w:r>
        <w:rPr>
          <w:vertAlign w:val="superscript"/>
        </w:rPr>
        <w:t xml:space="preserve">3 </w:t>
      </w:r>
      <w:r>
        <w:t xml:space="preserve">and </w:t>
      </w:r>
      <w:r w:rsidR="00971024">
        <w:t xml:space="preserve">varies between units from a minimum </w:t>
      </w:r>
      <w:r w:rsidR="00D05144">
        <w:t xml:space="preserve">volume </w:t>
      </w:r>
      <w:r w:rsidR="00971024">
        <w:t>of 108,156</w:t>
      </w:r>
      <w:r w:rsidR="00D05144">
        <w:t xml:space="preserve"> m</w:t>
      </w:r>
      <w:r w:rsidR="00D05144">
        <w:rPr>
          <w:vertAlign w:val="superscript"/>
        </w:rPr>
        <w:t>3</w:t>
      </w:r>
      <w:r w:rsidR="00D05144">
        <w:t xml:space="preserve"> at Southlake, to a maximum volume of 1,778,952 m</w:t>
      </w:r>
      <w:r w:rsidR="00D05144">
        <w:rPr>
          <w:vertAlign w:val="superscript"/>
        </w:rPr>
        <w:t>3</w:t>
      </w:r>
      <w:r w:rsidR="00D05144">
        <w:t xml:space="preserve"> at Kings Sedgemoor. </w:t>
      </w:r>
      <w:r w:rsidR="00817DF3">
        <w:t>The total ditch storage under current conditions totals 6,755,382 m</w:t>
      </w:r>
      <w:r w:rsidR="00817DF3">
        <w:rPr>
          <w:vertAlign w:val="superscript"/>
        </w:rPr>
        <w:t>3</w:t>
      </w:r>
      <w:r w:rsidR="00817DF3">
        <w:t xml:space="preserve"> across all areas and similarly varies between units from a minimum volume of 19,206 m</w:t>
      </w:r>
      <w:r w:rsidR="00817DF3">
        <w:rPr>
          <w:vertAlign w:val="superscript"/>
        </w:rPr>
        <w:t>3</w:t>
      </w:r>
      <w:r w:rsidR="00817DF3">
        <w:t xml:space="preserve"> at Southlake to a maximum volume of 1,606,434 m</w:t>
      </w:r>
      <w:r w:rsidR="00817DF3">
        <w:rPr>
          <w:vertAlign w:val="superscript"/>
        </w:rPr>
        <w:t>3</w:t>
      </w:r>
      <w:r w:rsidR="00817DF3">
        <w:t xml:space="preserve"> at Kings Sedgemoor. Summer ditch storage is 50% of maximum theoretical </w:t>
      </w:r>
      <w:r w:rsidR="00BB088B">
        <w:t xml:space="preserve">ditch </w:t>
      </w:r>
      <w:r w:rsidR="00817DF3">
        <w:t xml:space="preserve">storage and follows the same pattern of variability between WLMP units. </w:t>
      </w:r>
    </w:p>
    <w:p w:rsidR="007C2529" w:rsidRPr="00994CB4" w:rsidRDefault="00D05144" w:rsidP="00994CB4">
      <w:pPr>
        <w:jc w:val="both"/>
      </w:pPr>
      <w:r>
        <w:t xml:space="preserve">By comparing the calculation of total current </w:t>
      </w:r>
      <w:r w:rsidR="00BB088B">
        <w:t xml:space="preserve">ditch </w:t>
      </w:r>
      <w:r>
        <w:t xml:space="preserve">storage with the calculation of theoretical maximum </w:t>
      </w:r>
      <w:r w:rsidR="00BB088B">
        <w:t xml:space="preserve">ditch </w:t>
      </w:r>
      <w:r>
        <w:t xml:space="preserve">storage volume, it is possible to estimate the magnitude of influence that the raised water level areas have on the total </w:t>
      </w:r>
      <w:r w:rsidR="00BB088B">
        <w:t xml:space="preserve">ditch </w:t>
      </w:r>
      <w:r>
        <w:t xml:space="preserve">storage </w:t>
      </w:r>
      <w:r w:rsidRPr="00994CB4">
        <w:t xml:space="preserve">available. </w:t>
      </w:r>
      <w:r w:rsidR="00C72B9E">
        <w:t xml:space="preserve">The total </w:t>
      </w:r>
      <w:r w:rsidR="00BB088B">
        <w:t xml:space="preserve">ditch </w:t>
      </w:r>
      <w:r w:rsidR="00C72B9E">
        <w:t>storage volume occupied by maintenance of high water levels in winter (the difference between maximum theoretical storage and storage under current conditions) is 779,496 m</w:t>
      </w:r>
      <w:r w:rsidR="00C72B9E">
        <w:rPr>
          <w:vertAlign w:val="superscript"/>
        </w:rPr>
        <w:t>3</w:t>
      </w:r>
      <w:r w:rsidR="00C72B9E">
        <w:t xml:space="preserve"> and equates to 10% of the theoretical maximum across all sites. There is however great variability</w:t>
      </w:r>
      <w:r w:rsidRPr="00994CB4">
        <w:t xml:space="preserve"> between sites from a minimum of 0.6 % of the total </w:t>
      </w:r>
      <w:r w:rsidR="00BB088B">
        <w:t xml:space="preserve">ditch </w:t>
      </w:r>
      <w:r w:rsidRPr="00994CB4">
        <w:t xml:space="preserve">storage at Curry Moor, to 82.2 % of the total </w:t>
      </w:r>
      <w:r w:rsidR="00BB088B">
        <w:t xml:space="preserve">ditch </w:t>
      </w:r>
      <w:r w:rsidRPr="00994CB4">
        <w:t>storage at Southlake. As w</w:t>
      </w:r>
      <w:r w:rsidR="005C7B73" w:rsidRPr="00994CB4">
        <w:t>ould be expected, the pattern</w:t>
      </w:r>
      <w:r w:rsidRPr="00994CB4">
        <w:t xml:space="preserve"> follows that sh</w:t>
      </w:r>
      <w:r w:rsidR="005C7B73" w:rsidRPr="00994CB4">
        <w:t>own in table 1 where the length</w:t>
      </w:r>
      <w:r w:rsidRPr="00994CB4">
        <w:t xml:space="preserve"> of watercourses in the WLMP is compared with that in the RWLA. </w:t>
      </w:r>
      <w:r w:rsidR="00BB088B">
        <w:t>It should be noted that the management at Southlake is different to that at the other WLMP areas, and t</w:t>
      </w:r>
      <w:r w:rsidRPr="00994CB4">
        <w:t>he majority of sites have a redu</w:t>
      </w:r>
      <w:r w:rsidR="007C2529" w:rsidRPr="00994CB4">
        <w:t xml:space="preserve">ction in </w:t>
      </w:r>
      <w:r w:rsidR="00BB088B">
        <w:t xml:space="preserve">ditch </w:t>
      </w:r>
      <w:r w:rsidR="007C2529" w:rsidRPr="00994CB4">
        <w:t>storage of</w:t>
      </w:r>
      <w:r w:rsidR="00BB088B">
        <w:t xml:space="preserve"> between 5 % and</w:t>
      </w:r>
      <w:r w:rsidR="007C2529" w:rsidRPr="00994CB4">
        <w:t xml:space="preserve"> 27%. Summer </w:t>
      </w:r>
      <w:r w:rsidR="00817DF3">
        <w:t xml:space="preserve">ditch storage </w:t>
      </w:r>
      <w:r w:rsidR="007C2529" w:rsidRPr="00994CB4">
        <w:t xml:space="preserve">is 50% of the maximum theoretical ditch storage at each site. </w:t>
      </w:r>
      <w:r w:rsidR="00994CB4" w:rsidRPr="00994CB4">
        <w:t>The</w:t>
      </w:r>
      <w:r w:rsidR="007C2529" w:rsidRPr="00994CB4">
        <w:t xml:space="preserve"> split between channel storage and soil storage </w:t>
      </w:r>
      <w:r w:rsidR="00994CB4" w:rsidRPr="00994CB4">
        <w:t xml:space="preserve">is consistent across sites </w:t>
      </w:r>
      <w:r w:rsidR="007C2529" w:rsidRPr="00994CB4">
        <w:t xml:space="preserve">with channel storage contributing </w:t>
      </w:r>
      <w:r w:rsidR="00C72B9E">
        <w:t xml:space="preserve">approximately </w:t>
      </w:r>
      <w:r w:rsidR="007C2529" w:rsidRPr="00994CB4">
        <w:t xml:space="preserve">two thirds and soil storage contributing one third of the total </w:t>
      </w:r>
      <w:r w:rsidR="00994CB4" w:rsidRPr="00994CB4">
        <w:t xml:space="preserve">ditch storage </w:t>
      </w:r>
      <w:r w:rsidR="007C2529" w:rsidRPr="00994CB4">
        <w:t>volume.</w:t>
      </w:r>
    </w:p>
    <w:p w:rsidR="0036370A" w:rsidRDefault="00D05144" w:rsidP="00C0490B">
      <w:pPr>
        <w:jc w:val="both"/>
      </w:pPr>
      <w:r w:rsidRPr="00994CB4">
        <w:t xml:space="preserve">For reference the </w:t>
      </w:r>
      <w:r w:rsidR="005C7B73" w:rsidRPr="00994CB4">
        <w:t xml:space="preserve">current winter </w:t>
      </w:r>
      <w:r w:rsidR="00BB088B">
        <w:t xml:space="preserve">ditch </w:t>
      </w:r>
      <w:r w:rsidR="005C7B73" w:rsidRPr="00994CB4">
        <w:t xml:space="preserve">storage, winter </w:t>
      </w:r>
      <w:r w:rsidR="00E657EC" w:rsidRPr="00994CB4">
        <w:t xml:space="preserve">theoretical maximum </w:t>
      </w:r>
      <w:r w:rsidR="00BB088B">
        <w:t xml:space="preserve">ditch </w:t>
      </w:r>
      <w:r w:rsidR="00E657EC" w:rsidRPr="00994CB4">
        <w:t xml:space="preserve">storage volume and </w:t>
      </w:r>
      <w:r w:rsidR="005C7B73" w:rsidRPr="00994CB4">
        <w:t xml:space="preserve">summer </w:t>
      </w:r>
      <w:r w:rsidR="00BB088B">
        <w:t xml:space="preserve">ditch </w:t>
      </w:r>
      <w:r w:rsidR="005C7B73" w:rsidRPr="00994CB4">
        <w:t>storage</w:t>
      </w:r>
      <w:r w:rsidR="00E657EC" w:rsidRPr="00994CB4">
        <w:t xml:space="preserve"> volume</w:t>
      </w:r>
      <w:r w:rsidR="005C7B73" w:rsidRPr="00994CB4">
        <w:t>s</w:t>
      </w:r>
      <w:r w:rsidR="00E657EC" w:rsidRPr="00994CB4">
        <w:t xml:space="preserve"> </w:t>
      </w:r>
      <w:r w:rsidRPr="00994CB4">
        <w:t xml:space="preserve">are also presented in the context of the total volume of rainfall to fall on each WLMP unit during </w:t>
      </w:r>
      <w:r w:rsidR="005C7B73" w:rsidRPr="00994CB4">
        <w:t>winter 13/14 (</w:t>
      </w:r>
      <w:r w:rsidR="007C2529" w:rsidRPr="00994CB4">
        <w:t>Table 12 and f</w:t>
      </w:r>
      <w:r w:rsidR="005C7B73" w:rsidRPr="00994CB4">
        <w:t>igure13).</w:t>
      </w:r>
      <w:r w:rsidR="00C0490B">
        <w:t xml:space="preserve"> The</w:t>
      </w:r>
      <w:r w:rsidRPr="00994CB4">
        <w:t xml:space="preserve"> volumes only reflect rainfall falling directly on each unit and not any surface inflow</w:t>
      </w:r>
      <w:r w:rsidR="00C0490B">
        <w:t xml:space="preserve"> or any other component of the water balance</w:t>
      </w:r>
      <w:r w:rsidRPr="00994CB4">
        <w:t>, and</w:t>
      </w:r>
      <w:r>
        <w:t xml:space="preserve"> are therefore </w:t>
      </w:r>
      <w:r w:rsidR="007146EA">
        <w:t xml:space="preserve">likely to overestimate </w:t>
      </w:r>
      <w:r w:rsidR="00BB088B">
        <w:t xml:space="preserve">ditch </w:t>
      </w:r>
      <w:r w:rsidR="007146EA">
        <w:t>storage as a proportion of total flood volume. These numbers are no</w:t>
      </w:r>
      <w:r>
        <w:t>t suitable for a thorough assessme</w:t>
      </w:r>
      <w:r w:rsidR="007146EA">
        <w:t>nt of the water balance</w:t>
      </w:r>
      <w:r>
        <w:t xml:space="preserve"> however </w:t>
      </w:r>
      <w:r w:rsidR="007146EA">
        <w:t xml:space="preserve">they do </w:t>
      </w:r>
      <w:r>
        <w:t xml:space="preserve">provide a useful backdrop </w:t>
      </w:r>
      <w:r w:rsidR="00E657EC">
        <w:t>against which t</w:t>
      </w:r>
      <w:r w:rsidR="00C0490B">
        <w:t xml:space="preserve">o assess </w:t>
      </w:r>
      <w:r w:rsidR="00BB088B">
        <w:t xml:space="preserve">ditch </w:t>
      </w:r>
      <w:r w:rsidR="00C0490B">
        <w:t xml:space="preserve">storage volume. Averaged across all areas, the theoretical maximum ditch storage is 9.7%, winter ditch storage is 7.8% and summer ditch storage is 4.9% of the total rainfall volume. </w:t>
      </w:r>
      <w:r w:rsidR="00426D41">
        <w:t>In all except one of the WLMP areas, t</w:t>
      </w:r>
      <w:r w:rsidR="00E657EC">
        <w:t xml:space="preserve">he </w:t>
      </w:r>
      <w:r w:rsidR="00BB088B">
        <w:t xml:space="preserve">ditch </w:t>
      </w:r>
      <w:r w:rsidR="00E657EC">
        <w:t>storage volume lost throu</w:t>
      </w:r>
      <w:r w:rsidR="00426D41">
        <w:t>gh maintenance of RWLA is 2%</w:t>
      </w:r>
      <w:r w:rsidR="00BB088B">
        <w:t xml:space="preserve"> or less</w:t>
      </w:r>
      <w:r w:rsidR="00426D41">
        <w:t xml:space="preserve">. </w:t>
      </w:r>
      <w:r w:rsidR="00E657EC">
        <w:t>This indicate</w:t>
      </w:r>
      <w:r w:rsidR="00C0490B">
        <w:t>s</w:t>
      </w:r>
      <w:r w:rsidR="00E657EC">
        <w:t xml:space="preserve"> that in most units, the loss in </w:t>
      </w:r>
      <w:r w:rsidR="00BB088B">
        <w:t xml:space="preserve">ditch </w:t>
      </w:r>
      <w:r w:rsidR="00E657EC">
        <w:t xml:space="preserve">storage resulting from RWLAs is small in comparison to the incoming volume of water. </w:t>
      </w:r>
      <w:r w:rsidR="005C7B73">
        <w:t xml:space="preserve">In all except one area, the reduction in </w:t>
      </w:r>
      <w:r w:rsidR="00BB088B">
        <w:t xml:space="preserve">ditch </w:t>
      </w:r>
      <w:r w:rsidR="005C7B73">
        <w:t xml:space="preserve">storage through maintenance of summer water levels is greater than the reduction due to maintenance of RWLAs. </w:t>
      </w:r>
    </w:p>
    <w:p w:rsidR="00A56334" w:rsidRDefault="00426D41" w:rsidP="00426D41">
      <w:pPr>
        <w:jc w:val="both"/>
      </w:pPr>
      <w:r>
        <w:t xml:space="preserve">Where data are available, the </w:t>
      </w:r>
      <w:r w:rsidR="00BB088B">
        <w:t xml:space="preserve">ditch </w:t>
      </w:r>
      <w:r>
        <w:t>storage volumes are also presented in relation to estimates of maximum flood volume calculated from a combination of LiDAR-based level to volume relationships, telemetered water-level data and remotely sensed imagery</w:t>
      </w:r>
      <w:r w:rsidR="00267270">
        <w:t xml:space="preserve"> (Table 14)</w:t>
      </w:r>
      <w:r>
        <w:t xml:space="preserve">. </w:t>
      </w:r>
      <w:r w:rsidR="00A56334">
        <w:t>I</w:t>
      </w:r>
      <w:r w:rsidR="00C972CE">
        <w:t>n the six</w:t>
      </w:r>
      <w:r>
        <w:t xml:space="preserve"> units where results exist, the </w:t>
      </w:r>
      <w:r w:rsidR="00A56334">
        <w:t xml:space="preserve">average </w:t>
      </w:r>
      <w:r>
        <w:t xml:space="preserve">RWLA volume </w:t>
      </w:r>
      <w:r w:rsidR="00A56334">
        <w:t xml:space="preserve">occupied as a percentage of the maximum flood volume in 2014 across all sites </w:t>
      </w:r>
      <w:r>
        <w:t>is</w:t>
      </w:r>
      <w:r w:rsidR="00A56334">
        <w:t xml:space="preserve"> 0.6% and the average increase in flood level across all sites is 0.7 cm. Between </w:t>
      </w:r>
      <w:r w:rsidR="00A56334">
        <w:lastRenderedPageBreak/>
        <w:t xml:space="preserve">WLMP units, the range of proportion of volume occupied is 0.01% to 1.38% and the range of flood level increase is 0.03 cm to 1.16 cm. By comparison, the volume occupied by maintenance of summer penning levels is between 1.02% and 14.6% (average 3.6%) of the maximum flood volume and this equates to an increase in flood level of between </w:t>
      </w:r>
      <w:r w:rsidR="00AE6A49">
        <w:t>2.1 cm and 6.2 cm (average 2.9 cm</w:t>
      </w:r>
      <w:r w:rsidR="00AE6A49" w:rsidRPr="00640373">
        <w:t>). The same calculations were made for a less severe flood event, one in which the flood level would reach the lowest road in each WLMP area, and the results are: RWLA volume equates to between 0.1% and 6.1% (average 2.5%) of the flood volume, equating to an increase in flood level of between 0.</w:t>
      </w:r>
      <w:r w:rsidR="00B461C6" w:rsidRPr="00640373">
        <w:t xml:space="preserve">05 </w:t>
      </w:r>
      <w:r w:rsidR="00AE6A49" w:rsidRPr="00640373">
        <w:t>cm and 2.3 cm. For the summer agricultural pen volume this increases to between 3.9% and 20% (average 10.1%) of the flood volume, or an increase in flood level of between 2.7 cm and 6.</w:t>
      </w:r>
      <w:r w:rsidR="00B461C6" w:rsidRPr="00640373">
        <w:t xml:space="preserve">6 </w:t>
      </w:r>
      <w:r w:rsidR="00AE6A49" w:rsidRPr="00640373">
        <w:t>cm.</w:t>
      </w:r>
      <w:r w:rsidR="00AE6A49">
        <w:t xml:space="preserve"> </w:t>
      </w:r>
    </w:p>
    <w:p w:rsidR="00426D41" w:rsidRDefault="00426D41" w:rsidP="00426D41">
      <w:pPr>
        <w:jc w:val="both"/>
      </w:pPr>
      <w:r>
        <w:t xml:space="preserve">Pump capacity data were then used to convert the volumes into the number of hours of pumping required </w:t>
      </w:r>
      <w:r w:rsidR="00F01CA9">
        <w:t>to remove an equivalent volume. Across the six areas where results exist, i</w:t>
      </w:r>
      <w:r w:rsidR="00267270">
        <w:t xml:space="preserve">t would take on average 3.5 hours to remove the 425,388 </w:t>
      </w:r>
      <w:r w:rsidR="00267270" w:rsidRPr="00267270">
        <w:t>m</w:t>
      </w:r>
      <w:r w:rsidR="00267270">
        <w:rPr>
          <w:vertAlign w:val="superscript"/>
        </w:rPr>
        <w:t>3</w:t>
      </w:r>
      <w:r w:rsidR="00267270">
        <w:t xml:space="preserve"> of water </w:t>
      </w:r>
      <w:r w:rsidR="003F449D">
        <w:t xml:space="preserve">occupied by RWLA management based on permanent pumping station capacity (between WLMP units this would range from </w:t>
      </w:r>
      <w:r>
        <w:t>0.05 hours and 5.47 hours</w:t>
      </w:r>
      <w:r w:rsidR="003F449D">
        <w:t>. To pump the volume occupied by the agricultural pen level in summer, this increases to an average of 15.2 hours (range 7.1 hours to 25.1 hours).</w:t>
      </w:r>
    </w:p>
    <w:p w:rsidR="005C2C95" w:rsidRDefault="00A3259F" w:rsidP="00994CB4">
      <w:pPr>
        <w:jc w:val="both"/>
      </w:pPr>
      <w:r>
        <w:t xml:space="preserve">Sensitivity analysis was carried out to investigate the impact of uncertainty in specific yield and distance of influence. The total current </w:t>
      </w:r>
      <w:r w:rsidR="00BB088B">
        <w:t xml:space="preserve">ditch </w:t>
      </w:r>
      <w:r>
        <w:t xml:space="preserve">storage volume (with RWLA) and theoretical maximum </w:t>
      </w:r>
      <w:r w:rsidR="00BB088B">
        <w:t xml:space="preserve">ditch </w:t>
      </w:r>
      <w:r>
        <w:t>storage (without RWLA) were calculated for combinations of specific yield ranging from 0.15 to 0.25 and distance of influence ranging from 5 m to 30 m. Th</w:t>
      </w:r>
      <w:r w:rsidR="00A12490">
        <w:t>e results are shown in figure 14</w:t>
      </w:r>
      <w:r>
        <w:t xml:space="preserve">. There is variability </w:t>
      </w:r>
      <w:r w:rsidR="00617FF2">
        <w:t xml:space="preserve">in total </w:t>
      </w:r>
      <w:r w:rsidR="00BB088B">
        <w:t xml:space="preserve">ditch </w:t>
      </w:r>
      <w:r w:rsidR="00617FF2">
        <w:t xml:space="preserve">storage </w:t>
      </w:r>
      <w:r>
        <w:t xml:space="preserve">between sites </w:t>
      </w:r>
      <w:r w:rsidR="00617FF2">
        <w:t xml:space="preserve">similar to that </w:t>
      </w:r>
      <w:r w:rsidR="00A12490">
        <w:t>seen in figure 12</w:t>
      </w:r>
      <w:r w:rsidR="00617FF2">
        <w:t xml:space="preserve">. Within each site, the most dramatic difference on total </w:t>
      </w:r>
      <w:r w:rsidR="00BB088B">
        <w:t xml:space="preserve">ditch </w:t>
      </w:r>
      <w:r w:rsidR="00617FF2">
        <w:t xml:space="preserve">storage comes from uncertainty in distance of influence. The maximum value of 30 m suggested by Gilman (2004), has the potential to double available the total </w:t>
      </w:r>
      <w:r w:rsidR="00BB088B">
        <w:t xml:space="preserve">ditch </w:t>
      </w:r>
      <w:r w:rsidR="00617FF2">
        <w:t xml:space="preserve">storage. As noted previously however, a value of between 8 m and 10 m appears to be more likely on the basis of the current evidence. </w:t>
      </w:r>
      <w:r w:rsidR="00644A43">
        <w:t xml:space="preserve">Specific yield has a smaller impact on the calculated volume, with the range of possible values (0.15 to 0.25) translating to a ~15% change in total </w:t>
      </w:r>
      <w:r w:rsidR="00BB088B">
        <w:t xml:space="preserve">ditch </w:t>
      </w:r>
      <w:r w:rsidR="00644A43">
        <w:t xml:space="preserve">storage. </w:t>
      </w:r>
    </w:p>
    <w:p w:rsidR="00E44E0D" w:rsidRPr="00E44E0D" w:rsidRDefault="00E44E0D" w:rsidP="00E44E0D">
      <w:pPr>
        <w:pStyle w:val="Caption"/>
        <w:keepNext/>
        <w:rPr>
          <w:b w:val="0"/>
          <w:color w:val="auto"/>
          <w:sz w:val="22"/>
          <w:szCs w:val="22"/>
        </w:rPr>
      </w:pPr>
      <w:r w:rsidRPr="00E44E0D">
        <w:rPr>
          <w:b w:val="0"/>
          <w:color w:val="auto"/>
          <w:sz w:val="22"/>
          <w:szCs w:val="22"/>
        </w:rPr>
        <w:t xml:space="preserve">Table </w:t>
      </w:r>
      <w:r w:rsidR="00251534" w:rsidRPr="00E44E0D">
        <w:rPr>
          <w:b w:val="0"/>
          <w:color w:val="auto"/>
          <w:sz w:val="22"/>
          <w:szCs w:val="22"/>
        </w:rPr>
        <w:fldChar w:fldCharType="begin"/>
      </w:r>
      <w:r w:rsidRPr="00E44E0D">
        <w:rPr>
          <w:b w:val="0"/>
          <w:color w:val="auto"/>
          <w:sz w:val="22"/>
          <w:szCs w:val="22"/>
        </w:rPr>
        <w:instrText xml:space="preserve"> SEQ Table \* ARABIC </w:instrText>
      </w:r>
      <w:r w:rsidR="00251534" w:rsidRPr="00E44E0D">
        <w:rPr>
          <w:b w:val="0"/>
          <w:color w:val="auto"/>
          <w:sz w:val="22"/>
          <w:szCs w:val="22"/>
        </w:rPr>
        <w:fldChar w:fldCharType="separate"/>
      </w:r>
      <w:r w:rsidR="000E193B">
        <w:rPr>
          <w:b w:val="0"/>
          <w:noProof/>
          <w:color w:val="auto"/>
          <w:sz w:val="22"/>
          <w:szCs w:val="22"/>
        </w:rPr>
        <w:t>13</w:t>
      </w:r>
      <w:r w:rsidR="00251534" w:rsidRPr="00E44E0D">
        <w:rPr>
          <w:b w:val="0"/>
          <w:color w:val="auto"/>
          <w:sz w:val="22"/>
          <w:szCs w:val="22"/>
        </w:rPr>
        <w:fldChar w:fldCharType="end"/>
      </w:r>
      <w:r w:rsidR="00F54328">
        <w:rPr>
          <w:b w:val="0"/>
          <w:color w:val="auto"/>
          <w:sz w:val="22"/>
          <w:szCs w:val="22"/>
        </w:rPr>
        <w:t>.</w:t>
      </w:r>
      <w:r w:rsidRPr="00E44E0D">
        <w:rPr>
          <w:b w:val="0"/>
          <w:color w:val="auto"/>
          <w:sz w:val="22"/>
          <w:szCs w:val="22"/>
        </w:rPr>
        <w:t xml:space="preserve"> </w:t>
      </w:r>
      <w:r w:rsidR="00BB088B">
        <w:rPr>
          <w:b w:val="0"/>
          <w:color w:val="auto"/>
          <w:sz w:val="22"/>
          <w:szCs w:val="22"/>
        </w:rPr>
        <w:t>Uncertainty analysis. The i</w:t>
      </w:r>
      <w:r w:rsidRPr="00E44E0D">
        <w:rPr>
          <w:b w:val="0"/>
          <w:color w:val="auto"/>
          <w:sz w:val="22"/>
          <w:szCs w:val="22"/>
        </w:rPr>
        <w:t xml:space="preserve">mpact of combined maximum and minimum values of distance of influence and specific yield on loss in </w:t>
      </w:r>
      <w:r w:rsidR="00BB088B">
        <w:rPr>
          <w:b w:val="0"/>
          <w:color w:val="auto"/>
          <w:sz w:val="22"/>
          <w:szCs w:val="22"/>
        </w:rPr>
        <w:t xml:space="preserve">ditch </w:t>
      </w:r>
      <w:r w:rsidRPr="00E44E0D">
        <w:rPr>
          <w:b w:val="0"/>
          <w:color w:val="auto"/>
          <w:sz w:val="22"/>
          <w:szCs w:val="22"/>
        </w:rPr>
        <w:t>storage</w:t>
      </w:r>
      <w:r w:rsidR="00BB088B">
        <w:rPr>
          <w:b w:val="0"/>
          <w:color w:val="auto"/>
          <w:sz w:val="22"/>
          <w:szCs w:val="22"/>
        </w:rPr>
        <w:t xml:space="preserve"> due to RWLAs</w:t>
      </w:r>
      <w:r w:rsidRPr="00E44E0D">
        <w:rPr>
          <w:b w:val="0"/>
          <w:color w:val="auto"/>
          <w:sz w:val="22"/>
          <w:szCs w:val="22"/>
        </w:rPr>
        <w:t xml:space="preserve"> as a percentage of </w:t>
      </w:r>
      <w:r w:rsidR="00994CB4">
        <w:rPr>
          <w:b w:val="0"/>
          <w:color w:val="auto"/>
          <w:sz w:val="22"/>
          <w:szCs w:val="22"/>
        </w:rPr>
        <w:t>winter 13/14</w:t>
      </w:r>
      <w:r w:rsidRPr="00E44E0D">
        <w:rPr>
          <w:b w:val="0"/>
          <w:color w:val="auto"/>
          <w:sz w:val="22"/>
          <w:szCs w:val="22"/>
        </w:rPr>
        <w:t xml:space="preserve"> rainfall</w:t>
      </w:r>
    </w:p>
    <w:tbl>
      <w:tblPr>
        <w:tblW w:w="6014" w:type="dxa"/>
        <w:tblInd w:w="98" w:type="dxa"/>
        <w:tblLook w:val="04A0" w:firstRow="1" w:lastRow="0" w:firstColumn="1" w:lastColumn="0" w:noHBand="0" w:noVBand="1"/>
      </w:tblPr>
      <w:tblGrid>
        <w:gridCol w:w="2594"/>
        <w:gridCol w:w="1010"/>
        <w:gridCol w:w="1056"/>
        <w:gridCol w:w="1354"/>
      </w:tblGrid>
      <w:tr w:rsidR="00E44E0D" w:rsidRPr="005C7B73" w:rsidTr="00E44E0D">
        <w:trPr>
          <w:trHeight w:val="307"/>
        </w:trPr>
        <w:tc>
          <w:tcPr>
            <w:tcW w:w="6013" w:type="dxa"/>
            <w:gridSpan w:val="4"/>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44E0D" w:rsidRPr="005C7B73" w:rsidRDefault="00E44E0D" w:rsidP="00E44E0D">
            <w:pPr>
              <w:spacing w:after="0" w:line="240" w:lineRule="auto"/>
              <w:rPr>
                <w:rFonts w:ascii="Calibri" w:eastAsia="Times New Roman" w:hAnsi="Calibri" w:cs="Times New Roman"/>
                <w:color w:val="000000"/>
              </w:rPr>
            </w:pPr>
            <w:r w:rsidRPr="005C7B73">
              <w:rPr>
                <w:rFonts w:ascii="Calibri" w:eastAsia="Times New Roman" w:hAnsi="Calibri" w:cs="Times New Roman"/>
                <w:b/>
                <w:bCs/>
                <w:color w:val="000000"/>
              </w:rPr>
              <w:t xml:space="preserve">Loss in </w:t>
            </w:r>
            <w:r w:rsidR="00BB088B">
              <w:rPr>
                <w:rFonts w:ascii="Calibri" w:eastAsia="Times New Roman" w:hAnsi="Calibri" w:cs="Times New Roman"/>
                <w:b/>
                <w:bCs/>
                <w:color w:val="000000"/>
              </w:rPr>
              <w:t xml:space="preserve">ditch </w:t>
            </w:r>
            <w:r w:rsidRPr="005C7B73">
              <w:rPr>
                <w:rFonts w:ascii="Calibri" w:eastAsia="Times New Roman" w:hAnsi="Calibri" w:cs="Times New Roman"/>
                <w:b/>
                <w:bCs/>
                <w:color w:val="000000"/>
              </w:rPr>
              <w:t>storage as a percentage of winter 13/14 rainfall</w:t>
            </w:r>
            <w:r w:rsidRPr="005C7B73">
              <w:rPr>
                <w:rFonts w:ascii="Calibri" w:eastAsia="Times New Roman" w:hAnsi="Calibri" w:cs="Times New Roman"/>
                <w:color w:val="000000"/>
              </w:rPr>
              <w:t> </w:t>
            </w:r>
          </w:p>
        </w:tc>
      </w:tr>
      <w:tr w:rsidR="005C7B73" w:rsidRPr="005C7B73" w:rsidTr="00E44E0D">
        <w:trPr>
          <w:trHeight w:val="307"/>
        </w:trPr>
        <w:tc>
          <w:tcPr>
            <w:tcW w:w="2594" w:type="dxa"/>
            <w:tcBorders>
              <w:top w:val="nil"/>
              <w:left w:val="single" w:sz="8" w:space="0" w:color="auto"/>
              <w:bottom w:val="single" w:sz="4" w:space="0" w:color="auto"/>
              <w:right w:val="single" w:sz="4" w:space="0" w:color="auto"/>
            </w:tcBorders>
            <w:shd w:val="clear" w:color="auto" w:fill="auto"/>
            <w:noWrap/>
            <w:vAlign w:val="bottom"/>
            <w:hideMark/>
          </w:tcPr>
          <w:p w:rsidR="005C7B73" w:rsidRPr="005C7B73" w:rsidRDefault="005C7B73" w:rsidP="005C7B73">
            <w:pPr>
              <w:spacing w:after="0" w:line="240" w:lineRule="auto"/>
              <w:rPr>
                <w:rFonts w:ascii="Calibri" w:eastAsia="Times New Roman" w:hAnsi="Calibri" w:cs="Times New Roman"/>
                <w:b/>
                <w:bCs/>
                <w:color w:val="000000"/>
              </w:rPr>
            </w:pPr>
            <w:r w:rsidRPr="005C7B73">
              <w:rPr>
                <w:rFonts w:ascii="Calibri" w:eastAsia="Times New Roman" w:hAnsi="Calibri" w:cs="Times New Roman"/>
                <w:b/>
                <w:bCs/>
                <w:color w:val="000000"/>
              </w:rPr>
              <w:t> </w:t>
            </w:r>
          </w:p>
        </w:tc>
        <w:tc>
          <w:tcPr>
            <w:tcW w:w="1010" w:type="dxa"/>
            <w:tcBorders>
              <w:top w:val="nil"/>
              <w:left w:val="nil"/>
              <w:bottom w:val="single" w:sz="4" w:space="0" w:color="auto"/>
              <w:right w:val="single" w:sz="4" w:space="0" w:color="auto"/>
            </w:tcBorders>
            <w:shd w:val="clear" w:color="000000" w:fill="DBEEF3"/>
            <w:noWrap/>
            <w:vAlign w:val="bottom"/>
            <w:hideMark/>
          </w:tcPr>
          <w:p w:rsidR="005C7B73" w:rsidRPr="005C7B73" w:rsidRDefault="005C7B73" w:rsidP="005C7B73">
            <w:pPr>
              <w:spacing w:after="0" w:line="240" w:lineRule="auto"/>
              <w:rPr>
                <w:rFonts w:ascii="Calibri" w:eastAsia="Times New Roman" w:hAnsi="Calibri" w:cs="Times New Roman"/>
                <w:color w:val="000000"/>
              </w:rPr>
            </w:pPr>
            <w:r w:rsidRPr="005C7B73">
              <w:rPr>
                <w:rFonts w:ascii="Calibri" w:eastAsia="Times New Roman" w:hAnsi="Calibri" w:cs="Times New Roman"/>
                <w:color w:val="000000"/>
              </w:rPr>
              <w:t>Mean</w:t>
            </w:r>
          </w:p>
        </w:tc>
        <w:tc>
          <w:tcPr>
            <w:tcW w:w="1056" w:type="dxa"/>
            <w:tcBorders>
              <w:top w:val="nil"/>
              <w:left w:val="nil"/>
              <w:bottom w:val="single" w:sz="4" w:space="0" w:color="auto"/>
              <w:right w:val="single" w:sz="4" w:space="0" w:color="auto"/>
            </w:tcBorders>
            <w:shd w:val="clear" w:color="000000" w:fill="DBEEF3"/>
            <w:noWrap/>
            <w:vAlign w:val="bottom"/>
            <w:hideMark/>
          </w:tcPr>
          <w:p w:rsidR="005C7B73" w:rsidRPr="005C7B73" w:rsidRDefault="005C7B73" w:rsidP="005C7B73">
            <w:pPr>
              <w:spacing w:after="0" w:line="240" w:lineRule="auto"/>
              <w:rPr>
                <w:rFonts w:ascii="Calibri" w:eastAsia="Times New Roman" w:hAnsi="Calibri" w:cs="Times New Roman"/>
                <w:color w:val="000000"/>
              </w:rPr>
            </w:pPr>
            <w:r w:rsidRPr="005C7B73">
              <w:rPr>
                <w:rFonts w:ascii="Calibri" w:eastAsia="Times New Roman" w:hAnsi="Calibri" w:cs="Times New Roman"/>
                <w:color w:val="000000"/>
              </w:rPr>
              <w:t>Min</w:t>
            </w:r>
          </w:p>
        </w:tc>
        <w:tc>
          <w:tcPr>
            <w:tcW w:w="1354" w:type="dxa"/>
            <w:tcBorders>
              <w:top w:val="nil"/>
              <w:left w:val="nil"/>
              <w:bottom w:val="single" w:sz="4" w:space="0" w:color="auto"/>
              <w:right w:val="single" w:sz="8" w:space="0" w:color="auto"/>
            </w:tcBorders>
            <w:shd w:val="clear" w:color="000000" w:fill="DBEEF3"/>
            <w:noWrap/>
            <w:vAlign w:val="bottom"/>
            <w:hideMark/>
          </w:tcPr>
          <w:p w:rsidR="005C7B73" w:rsidRPr="005C7B73" w:rsidRDefault="005C7B73" w:rsidP="005C7B73">
            <w:pPr>
              <w:spacing w:after="0" w:line="240" w:lineRule="auto"/>
              <w:rPr>
                <w:rFonts w:ascii="Calibri" w:eastAsia="Times New Roman" w:hAnsi="Calibri" w:cs="Times New Roman"/>
                <w:color w:val="000000"/>
              </w:rPr>
            </w:pPr>
            <w:r w:rsidRPr="005C7B73">
              <w:rPr>
                <w:rFonts w:ascii="Calibri" w:eastAsia="Times New Roman" w:hAnsi="Calibri" w:cs="Times New Roman"/>
                <w:color w:val="000000"/>
              </w:rPr>
              <w:t>Max</w:t>
            </w:r>
          </w:p>
        </w:tc>
      </w:tr>
      <w:tr w:rsidR="005C7B73" w:rsidRPr="005C7B73" w:rsidTr="00E44E0D">
        <w:trPr>
          <w:trHeight w:val="307"/>
        </w:trPr>
        <w:tc>
          <w:tcPr>
            <w:tcW w:w="2594" w:type="dxa"/>
            <w:tcBorders>
              <w:top w:val="nil"/>
              <w:left w:val="single" w:sz="8" w:space="0" w:color="auto"/>
              <w:bottom w:val="single" w:sz="4" w:space="0" w:color="auto"/>
              <w:right w:val="single" w:sz="4" w:space="0" w:color="auto"/>
            </w:tcBorders>
            <w:shd w:val="clear" w:color="000000" w:fill="FDE9D9"/>
            <w:noWrap/>
            <w:vAlign w:val="bottom"/>
            <w:hideMark/>
          </w:tcPr>
          <w:p w:rsidR="005C7B73" w:rsidRPr="005C7B73" w:rsidRDefault="005C7B73" w:rsidP="005C7B73">
            <w:pPr>
              <w:spacing w:after="0" w:line="240" w:lineRule="auto"/>
              <w:rPr>
                <w:rFonts w:ascii="Calibri" w:eastAsia="Times New Roman" w:hAnsi="Calibri" w:cs="Times New Roman"/>
                <w:color w:val="000000"/>
              </w:rPr>
            </w:pPr>
            <w:r w:rsidRPr="005C7B73">
              <w:rPr>
                <w:rFonts w:ascii="Calibri" w:eastAsia="Times New Roman" w:hAnsi="Calibri" w:cs="Times New Roman"/>
                <w:color w:val="000000"/>
              </w:rPr>
              <w:t xml:space="preserve">Distance of influence = </w:t>
            </w:r>
          </w:p>
        </w:tc>
        <w:tc>
          <w:tcPr>
            <w:tcW w:w="1010" w:type="dxa"/>
            <w:tcBorders>
              <w:top w:val="nil"/>
              <w:left w:val="nil"/>
              <w:bottom w:val="single" w:sz="4" w:space="0" w:color="auto"/>
              <w:right w:val="single" w:sz="4" w:space="0" w:color="auto"/>
            </w:tcBorders>
            <w:shd w:val="clear" w:color="auto" w:fill="auto"/>
            <w:noWrap/>
            <w:vAlign w:val="bottom"/>
            <w:hideMark/>
          </w:tcPr>
          <w:p w:rsidR="005C7B73" w:rsidRPr="005C7B73" w:rsidRDefault="005C7B73" w:rsidP="005C7B73">
            <w:pPr>
              <w:spacing w:after="0" w:line="240" w:lineRule="auto"/>
              <w:jc w:val="right"/>
              <w:rPr>
                <w:rFonts w:ascii="Calibri" w:eastAsia="Times New Roman" w:hAnsi="Calibri" w:cs="Times New Roman"/>
                <w:color w:val="000000"/>
              </w:rPr>
            </w:pPr>
            <w:r w:rsidRPr="005C7B73">
              <w:rPr>
                <w:rFonts w:ascii="Calibri" w:eastAsia="Times New Roman" w:hAnsi="Calibri" w:cs="Times New Roman"/>
                <w:color w:val="000000"/>
              </w:rPr>
              <w:t>9 m</w:t>
            </w:r>
          </w:p>
        </w:tc>
        <w:tc>
          <w:tcPr>
            <w:tcW w:w="1056" w:type="dxa"/>
            <w:tcBorders>
              <w:top w:val="nil"/>
              <w:left w:val="nil"/>
              <w:bottom w:val="single" w:sz="4" w:space="0" w:color="auto"/>
              <w:right w:val="single" w:sz="4" w:space="0" w:color="auto"/>
            </w:tcBorders>
            <w:shd w:val="clear" w:color="auto" w:fill="auto"/>
            <w:noWrap/>
            <w:vAlign w:val="bottom"/>
            <w:hideMark/>
          </w:tcPr>
          <w:p w:rsidR="005C7B73" w:rsidRPr="005C7B73" w:rsidRDefault="005C7B73" w:rsidP="005C7B73">
            <w:pPr>
              <w:spacing w:after="0" w:line="240" w:lineRule="auto"/>
              <w:jc w:val="right"/>
              <w:rPr>
                <w:rFonts w:ascii="Calibri" w:eastAsia="Times New Roman" w:hAnsi="Calibri" w:cs="Times New Roman"/>
                <w:color w:val="000000"/>
              </w:rPr>
            </w:pPr>
            <w:r w:rsidRPr="005C7B73">
              <w:rPr>
                <w:rFonts w:ascii="Calibri" w:eastAsia="Times New Roman" w:hAnsi="Calibri" w:cs="Times New Roman"/>
                <w:color w:val="000000"/>
              </w:rPr>
              <w:t>5 m</w:t>
            </w:r>
          </w:p>
        </w:tc>
        <w:tc>
          <w:tcPr>
            <w:tcW w:w="1354" w:type="dxa"/>
            <w:tcBorders>
              <w:top w:val="nil"/>
              <w:left w:val="nil"/>
              <w:bottom w:val="single" w:sz="4" w:space="0" w:color="auto"/>
              <w:right w:val="single" w:sz="8" w:space="0" w:color="auto"/>
            </w:tcBorders>
            <w:shd w:val="clear" w:color="auto" w:fill="auto"/>
            <w:noWrap/>
            <w:vAlign w:val="bottom"/>
            <w:hideMark/>
          </w:tcPr>
          <w:p w:rsidR="005C7B73" w:rsidRPr="005C7B73" w:rsidRDefault="005C7B73" w:rsidP="005C7B73">
            <w:pPr>
              <w:spacing w:after="0" w:line="240" w:lineRule="auto"/>
              <w:jc w:val="right"/>
              <w:rPr>
                <w:rFonts w:ascii="Calibri" w:eastAsia="Times New Roman" w:hAnsi="Calibri" w:cs="Times New Roman"/>
                <w:color w:val="000000"/>
              </w:rPr>
            </w:pPr>
            <w:r w:rsidRPr="005C7B73">
              <w:rPr>
                <w:rFonts w:ascii="Calibri" w:eastAsia="Times New Roman" w:hAnsi="Calibri" w:cs="Times New Roman"/>
                <w:color w:val="000000"/>
              </w:rPr>
              <w:t>30 m</w:t>
            </w:r>
          </w:p>
        </w:tc>
      </w:tr>
      <w:tr w:rsidR="005C7B73" w:rsidRPr="005C7B73" w:rsidTr="00E44E0D">
        <w:trPr>
          <w:trHeight w:val="307"/>
        </w:trPr>
        <w:tc>
          <w:tcPr>
            <w:tcW w:w="2594" w:type="dxa"/>
            <w:tcBorders>
              <w:top w:val="nil"/>
              <w:left w:val="single" w:sz="8" w:space="0" w:color="auto"/>
              <w:bottom w:val="single" w:sz="4" w:space="0" w:color="auto"/>
              <w:right w:val="single" w:sz="4" w:space="0" w:color="auto"/>
            </w:tcBorders>
            <w:shd w:val="clear" w:color="000000" w:fill="FDE9D9"/>
            <w:noWrap/>
            <w:vAlign w:val="bottom"/>
            <w:hideMark/>
          </w:tcPr>
          <w:p w:rsidR="005C7B73" w:rsidRPr="005C7B73" w:rsidRDefault="005C7B73" w:rsidP="005C7B73">
            <w:pPr>
              <w:spacing w:after="0" w:line="240" w:lineRule="auto"/>
              <w:rPr>
                <w:rFonts w:ascii="Calibri" w:eastAsia="Times New Roman" w:hAnsi="Calibri" w:cs="Times New Roman"/>
                <w:color w:val="000000"/>
              </w:rPr>
            </w:pPr>
            <w:r w:rsidRPr="005C7B73">
              <w:rPr>
                <w:rFonts w:ascii="Calibri" w:eastAsia="Times New Roman" w:hAnsi="Calibri" w:cs="Times New Roman"/>
                <w:color w:val="000000"/>
              </w:rPr>
              <w:t xml:space="preserve">Specific Yield = </w:t>
            </w:r>
          </w:p>
        </w:tc>
        <w:tc>
          <w:tcPr>
            <w:tcW w:w="1010" w:type="dxa"/>
            <w:tcBorders>
              <w:top w:val="nil"/>
              <w:left w:val="nil"/>
              <w:bottom w:val="single" w:sz="4" w:space="0" w:color="auto"/>
              <w:right w:val="single" w:sz="4" w:space="0" w:color="auto"/>
            </w:tcBorders>
            <w:shd w:val="clear" w:color="auto" w:fill="auto"/>
            <w:noWrap/>
            <w:vAlign w:val="bottom"/>
            <w:hideMark/>
          </w:tcPr>
          <w:p w:rsidR="005C7B73" w:rsidRPr="005C7B73" w:rsidRDefault="005C7B73" w:rsidP="005C7B73">
            <w:pPr>
              <w:spacing w:after="0" w:line="240" w:lineRule="auto"/>
              <w:jc w:val="right"/>
              <w:rPr>
                <w:rFonts w:ascii="Calibri" w:eastAsia="Times New Roman" w:hAnsi="Calibri" w:cs="Times New Roman"/>
                <w:color w:val="000000"/>
              </w:rPr>
            </w:pPr>
            <w:r w:rsidRPr="005C7B73">
              <w:rPr>
                <w:rFonts w:ascii="Calibri" w:eastAsia="Times New Roman" w:hAnsi="Calibri" w:cs="Times New Roman"/>
                <w:color w:val="000000"/>
              </w:rPr>
              <w:t>0.2</w:t>
            </w:r>
          </w:p>
        </w:tc>
        <w:tc>
          <w:tcPr>
            <w:tcW w:w="1056" w:type="dxa"/>
            <w:tcBorders>
              <w:top w:val="nil"/>
              <w:left w:val="nil"/>
              <w:bottom w:val="single" w:sz="4" w:space="0" w:color="auto"/>
              <w:right w:val="single" w:sz="4" w:space="0" w:color="auto"/>
            </w:tcBorders>
            <w:shd w:val="clear" w:color="auto" w:fill="auto"/>
            <w:noWrap/>
            <w:vAlign w:val="bottom"/>
            <w:hideMark/>
          </w:tcPr>
          <w:p w:rsidR="005C7B73" w:rsidRPr="005C7B73" w:rsidRDefault="005C7B73" w:rsidP="005C7B73">
            <w:pPr>
              <w:spacing w:after="0" w:line="240" w:lineRule="auto"/>
              <w:jc w:val="right"/>
              <w:rPr>
                <w:rFonts w:ascii="Calibri" w:eastAsia="Times New Roman" w:hAnsi="Calibri" w:cs="Times New Roman"/>
                <w:color w:val="000000"/>
              </w:rPr>
            </w:pPr>
            <w:r w:rsidRPr="005C7B73">
              <w:rPr>
                <w:rFonts w:ascii="Calibri" w:eastAsia="Times New Roman" w:hAnsi="Calibri" w:cs="Times New Roman"/>
                <w:color w:val="000000"/>
              </w:rPr>
              <w:t>0.15</w:t>
            </w:r>
          </w:p>
        </w:tc>
        <w:tc>
          <w:tcPr>
            <w:tcW w:w="1354" w:type="dxa"/>
            <w:tcBorders>
              <w:top w:val="nil"/>
              <w:left w:val="nil"/>
              <w:bottom w:val="single" w:sz="4" w:space="0" w:color="auto"/>
              <w:right w:val="single" w:sz="8" w:space="0" w:color="auto"/>
            </w:tcBorders>
            <w:shd w:val="clear" w:color="auto" w:fill="auto"/>
            <w:noWrap/>
            <w:vAlign w:val="bottom"/>
            <w:hideMark/>
          </w:tcPr>
          <w:p w:rsidR="005C7B73" w:rsidRPr="005C7B73" w:rsidRDefault="005C7B73" w:rsidP="005C7B73">
            <w:pPr>
              <w:spacing w:after="0" w:line="240" w:lineRule="auto"/>
              <w:jc w:val="right"/>
              <w:rPr>
                <w:rFonts w:ascii="Calibri" w:eastAsia="Times New Roman" w:hAnsi="Calibri" w:cs="Times New Roman"/>
                <w:color w:val="000000"/>
              </w:rPr>
            </w:pPr>
            <w:r w:rsidRPr="005C7B73">
              <w:rPr>
                <w:rFonts w:ascii="Calibri" w:eastAsia="Times New Roman" w:hAnsi="Calibri" w:cs="Times New Roman"/>
                <w:color w:val="000000"/>
              </w:rPr>
              <w:t>0.25</w:t>
            </w:r>
          </w:p>
        </w:tc>
      </w:tr>
      <w:tr w:rsidR="005C7B73" w:rsidRPr="005C7B73" w:rsidTr="00E44E0D">
        <w:trPr>
          <w:trHeight w:val="307"/>
        </w:trPr>
        <w:tc>
          <w:tcPr>
            <w:tcW w:w="2594" w:type="dxa"/>
            <w:tcBorders>
              <w:top w:val="nil"/>
              <w:left w:val="single" w:sz="8" w:space="0" w:color="auto"/>
              <w:bottom w:val="single" w:sz="4" w:space="0" w:color="auto"/>
              <w:right w:val="single" w:sz="4" w:space="0" w:color="auto"/>
            </w:tcBorders>
            <w:shd w:val="clear" w:color="auto" w:fill="auto"/>
            <w:noWrap/>
            <w:vAlign w:val="bottom"/>
            <w:hideMark/>
          </w:tcPr>
          <w:p w:rsidR="005C7B73" w:rsidRPr="005C7B73" w:rsidRDefault="005C7B73" w:rsidP="005C7B73">
            <w:pPr>
              <w:spacing w:after="0" w:line="240" w:lineRule="auto"/>
              <w:rPr>
                <w:rFonts w:ascii="Calibri" w:eastAsia="Times New Roman" w:hAnsi="Calibri" w:cs="Times New Roman"/>
                <w:color w:val="000000"/>
              </w:rPr>
            </w:pPr>
            <w:r w:rsidRPr="005C7B73">
              <w:rPr>
                <w:rFonts w:ascii="Calibri" w:eastAsia="Times New Roman" w:hAnsi="Calibri" w:cs="Times New Roman"/>
                <w:color w:val="000000"/>
              </w:rPr>
              <w:t>Mean</w:t>
            </w:r>
          </w:p>
        </w:tc>
        <w:tc>
          <w:tcPr>
            <w:tcW w:w="1010" w:type="dxa"/>
            <w:tcBorders>
              <w:top w:val="nil"/>
              <w:left w:val="nil"/>
              <w:bottom w:val="single" w:sz="4" w:space="0" w:color="auto"/>
              <w:right w:val="single" w:sz="4" w:space="0" w:color="auto"/>
            </w:tcBorders>
            <w:shd w:val="clear" w:color="auto" w:fill="auto"/>
            <w:noWrap/>
            <w:vAlign w:val="bottom"/>
            <w:hideMark/>
          </w:tcPr>
          <w:p w:rsidR="005C7B73" w:rsidRPr="005C7B73" w:rsidRDefault="005C7B73" w:rsidP="005C7B73">
            <w:pPr>
              <w:spacing w:after="0" w:line="240" w:lineRule="auto"/>
              <w:jc w:val="right"/>
              <w:rPr>
                <w:rFonts w:ascii="Calibri" w:eastAsia="Times New Roman" w:hAnsi="Calibri" w:cs="Times New Roman"/>
                <w:color w:val="000000"/>
              </w:rPr>
            </w:pPr>
            <w:r w:rsidRPr="005C7B73">
              <w:rPr>
                <w:rFonts w:ascii="Calibri" w:eastAsia="Times New Roman" w:hAnsi="Calibri" w:cs="Times New Roman"/>
                <w:color w:val="000000"/>
              </w:rPr>
              <w:t>1.90</w:t>
            </w:r>
          </w:p>
        </w:tc>
        <w:tc>
          <w:tcPr>
            <w:tcW w:w="1056" w:type="dxa"/>
            <w:tcBorders>
              <w:top w:val="nil"/>
              <w:left w:val="nil"/>
              <w:bottom w:val="single" w:sz="4" w:space="0" w:color="auto"/>
              <w:right w:val="single" w:sz="4" w:space="0" w:color="auto"/>
            </w:tcBorders>
            <w:shd w:val="clear" w:color="auto" w:fill="auto"/>
            <w:noWrap/>
            <w:vAlign w:val="bottom"/>
            <w:hideMark/>
          </w:tcPr>
          <w:p w:rsidR="005C7B73" w:rsidRPr="005C7B73" w:rsidRDefault="005C7B73" w:rsidP="005C7B73">
            <w:pPr>
              <w:spacing w:after="0" w:line="240" w:lineRule="auto"/>
              <w:jc w:val="right"/>
              <w:rPr>
                <w:rFonts w:ascii="Calibri" w:eastAsia="Times New Roman" w:hAnsi="Calibri" w:cs="Times New Roman"/>
                <w:color w:val="000000"/>
              </w:rPr>
            </w:pPr>
            <w:r w:rsidRPr="005C7B73">
              <w:rPr>
                <w:rFonts w:ascii="Calibri" w:eastAsia="Times New Roman" w:hAnsi="Calibri" w:cs="Times New Roman"/>
                <w:color w:val="000000"/>
              </w:rPr>
              <w:t>1.51</w:t>
            </w:r>
          </w:p>
        </w:tc>
        <w:tc>
          <w:tcPr>
            <w:tcW w:w="1354" w:type="dxa"/>
            <w:tcBorders>
              <w:top w:val="nil"/>
              <w:left w:val="nil"/>
              <w:bottom w:val="single" w:sz="4" w:space="0" w:color="auto"/>
              <w:right w:val="single" w:sz="8" w:space="0" w:color="auto"/>
            </w:tcBorders>
            <w:shd w:val="clear" w:color="auto" w:fill="auto"/>
            <w:noWrap/>
            <w:vAlign w:val="bottom"/>
            <w:hideMark/>
          </w:tcPr>
          <w:p w:rsidR="005C7B73" w:rsidRPr="005C7B73" w:rsidRDefault="005C7B73" w:rsidP="005C7B73">
            <w:pPr>
              <w:spacing w:after="0" w:line="240" w:lineRule="auto"/>
              <w:jc w:val="right"/>
              <w:rPr>
                <w:rFonts w:ascii="Calibri" w:eastAsia="Times New Roman" w:hAnsi="Calibri" w:cs="Times New Roman"/>
                <w:color w:val="000000"/>
              </w:rPr>
            </w:pPr>
            <w:r w:rsidRPr="005C7B73">
              <w:rPr>
                <w:rFonts w:ascii="Calibri" w:eastAsia="Times New Roman" w:hAnsi="Calibri" w:cs="Times New Roman"/>
                <w:color w:val="000000"/>
              </w:rPr>
              <w:t>4.04</w:t>
            </w:r>
          </w:p>
        </w:tc>
      </w:tr>
      <w:tr w:rsidR="005C7B73" w:rsidRPr="005C7B73" w:rsidTr="00E44E0D">
        <w:trPr>
          <w:trHeight w:val="307"/>
        </w:trPr>
        <w:tc>
          <w:tcPr>
            <w:tcW w:w="2594" w:type="dxa"/>
            <w:tcBorders>
              <w:top w:val="nil"/>
              <w:left w:val="single" w:sz="8" w:space="0" w:color="auto"/>
              <w:bottom w:val="single" w:sz="4" w:space="0" w:color="auto"/>
              <w:right w:val="single" w:sz="4" w:space="0" w:color="auto"/>
            </w:tcBorders>
            <w:shd w:val="clear" w:color="auto" w:fill="auto"/>
            <w:noWrap/>
            <w:vAlign w:val="bottom"/>
            <w:hideMark/>
          </w:tcPr>
          <w:p w:rsidR="005C7B73" w:rsidRPr="005C7B73" w:rsidRDefault="005C7B73" w:rsidP="005C7B73">
            <w:pPr>
              <w:spacing w:after="0" w:line="240" w:lineRule="auto"/>
              <w:rPr>
                <w:rFonts w:ascii="Calibri" w:eastAsia="Times New Roman" w:hAnsi="Calibri" w:cs="Times New Roman"/>
                <w:color w:val="000000"/>
              </w:rPr>
            </w:pPr>
            <w:r w:rsidRPr="005C7B73">
              <w:rPr>
                <w:rFonts w:ascii="Calibri" w:eastAsia="Times New Roman" w:hAnsi="Calibri" w:cs="Times New Roman"/>
                <w:color w:val="000000"/>
              </w:rPr>
              <w:t>Min</w:t>
            </w:r>
          </w:p>
        </w:tc>
        <w:tc>
          <w:tcPr>
            <w:tcW w:w="1010" w:type="dxa"/>
            <w:tcBorders>
              <w:top w:val="nil"/>
              <w:left w:val="nil"/>
              <w:bottom w:val="single" w:sz="4" w:space="0" w:color="auto"/>
              <w:right w:val="single" w:sz="4" w:space="0" w:color="auto"/>
            </w:tcBorders>
            <w:shd w:val="clear" w:color="auto" w:fill="auto"/>
            <w:noWrap/>
            <w:vAlign w:val="bottom"/>
            <w:hideMark/>
          </w:tcPr>
          <w:p w:rsidR="005C7B73" w:rsidRPr="005C7B73" w:rsidRDefault="005C7B73" w:rsidP="005C7B73">
            <w:pPr>
              <w:spacing w:after="0" w:line="240" w:lineRule="auto"/>
              <w:jc w:val="right"/>
              <w:rPr>
                <w:rFonts w:ascii="Calibri" w:eastAsia="Times New Roman" w:hAnsi="Calibri" w:cs="Times New Roman"/>
                <w:color w:val="000000"/>
              </w:rPr>
            </w:pPr>
            <w:r w:rsidRPr="005C7B73">
              <w:rPr>
                <w:rFonts w:ascii="Calibri" w:eastAsia="Times New Roman" w:hAnsi="Calibri" w:cs="Times New Roman"/>
                <w:color w:val="000000"/>
              </w:rPr>
              <w:t>0.05</w:t>
            </w:r>
          </w:p>
        </w:tc>
        <w:tc>
          <w:tcPr>
            <w:tcW w:w="1056" w:type="dxa"/>
            <w:tcBorders>
              <w:top w:val="nil"/>
              <w:left w:val="nil"/>
              <w:bottom w:val="single" w:sz="4" w:space="0" w:color="auto"/>
              <w:right w:val="single" w:sz="4" w:space="0" w:color="auto"/>
            </w:tcBorders>
            <w:shd w:val="clear" w:color="auto" w:fill="auto"/>
            <w:noWrap/>
            <w:vAlign w:val="bottom"/>
            <w:hideMark/>
          </w:tcPr>
          <w:p w:rsidR="005C7B73" w:rsidRPr="005C7B73" w:rsidRDefault="005C7B73" w:rsidP="005C7B73">
            <w:pPr>
              <w:spacing w:after="0" w:line="240" w:lineRule="auto"/>
              <w:jc w:val="right"/>
              <w:rPr>
                <w:rFonts w:ascii="Calibri" w:eastAsia="Times New Roman" w:hAnsi="Calibri" w:cs="Times New Roman"/>
                <w:color w:val="000000"/>
              </w:rPr>
            </w:pPr>
            <w:r w:rsidRPr="005C7B73">
              <w:rPr>
                <w:rFonts w:ascii="Calibri" w:eastAsia="Times New Roman" w:hAnsi="Calibri" w:cs="Times New Roman"/>
                <w:color w:val="000000"/>
              </w:rPr>
              <w:t>0.04</w:t>
            </w:r>
          </w:p>
        </w:tc>
        <w:tc>
          <w:tcPr>
            <w:tcW w:w="1354" w:type="dxa"/>
            <w:tcBorders>
              <w:top w:val="nil"/>
              <w:left w:val="nil"/>
              <w:bottom w:val="single" w:sz="4" w:space="0" w:color="auto"/>
              <w:right w:val="single" w:sz="8" w:space="0" w:color="auto"/>
            </w:tcBorders>
            <w:shd w:val="clear" w:color="auto" w:fill="auto"/>
            <w:noWrap/>
            <w:vAlign w:val="bottom"/>
            <w:hideMark/>
          </w:tcPr>
          <w:p w:rsidR="005C7B73" w:rsidRPr="005C7B73" w:rsidRDefault="005C7B73" w:rsidP="005C7B73">
            <w:pPr>
              <w:spacing w:after="0" w:line="240" w:lineRule="auto"/>
              <w:jc w:val="right"/>
              <w:rPr>
                <w:rFonts w:ascii="Calibri" w:eastAsia="Times New Roman" w:hAnsi="Calibri" w:cs="Times New Roman"/>
                <w:color w:val="000000"/>
              </w:rPr>
            </w:pPr>
            <w:r w:rsidRPr="005C7B73">
              <w:rPr>
                <w:rFonts w:ascii="Calibri" w:eastAsia="Times New Roman" w:hAnsi="Calibri" w:cs="Times New Roman"/>
                <w:color w:val="000000"/>
              </w:rPr>
              <w:t>0.11</w:t>
            </w:r>
          </w:p>
        </w:tc>
      </w:tr>
      <w:tr w:rsidR="005C7B73" w:rsidRPr="005C7B73" w:rsidTr="00E44E0D">
        <w:trPr>
          <w:trHeight w:val="323"/>
        </w:trPr>
        <w:tc>
          <w:tcPr>
            <w:tcW w:w="2594" w:type="dxa"/>
            <w:tcBorders>
              <w:top w:val="nil"/>
              <w:left w:val="single" w:sz="8" w:space="0" w:color="auto"/>
              <w:bottom w:val="single" w:sz="8" w:space="0" w:color="auto"/>
              <w:right w:val="single" w:sz="4" w:space="0" w:color="auto"/>
            </w:tcBorders>
            <w:shd w:val="clear" w:color="auto" w:fill="auto"/>
            <w:noWrap/>
            <w:vAlign w:val="bottom"/>
            <w:hideMark/>
          </w:tcPr>
          <w:p w:rsidR="005C7B73" w:rsidRPr="005C7B73" w:rsidRDefault="005C7B73" w:rsidP="005C7B73">
            <w:pPr>
              <w:spacing w:after="0" w:line="240" w:lineRule="auto"/>
              <w:rPr>
                <w:rFonts w:ascii="Calibri" w:eastAsia="Times New Roman" w:hAnsi="Calibri" w:cs="Times New Roman"/>
                <w:color w:val="000000"/>
              </w:rPr>
            </w:pPr>
            <w:r w:rsidRPr="005C7B73">
              <w:rPr>
                <w:rFonts w:ascii="Calibri" w:eastAsia="Times New Roman" w:hAnsi="Calibri" w:cs="Times New Roman"/>
                <w:color w:val="000000"/>
              </w:rPr>
              <w:t>Max</w:t>
            </w:r>
          </w:p>
        </w:tc>
        <w:tc>
          <w:tcPr>
            <w:tcW w:w="1010" w:type="dxa"/>
            <w:tcBorders>
              <w:top w:val="nil"/>
              <w:left w:val="nil"/>
              <w:bottom w:val="single" w:sz="8" w:space="0" w:color="auto"/>
              <w:right w:val="single" w:sz="4" w:space="0" w:color="auto"/>
            </w:tcBorders>
            <w:shd w:val="clear" w:color="auto" w:fill="auto"/>
            <w:noWrap/>
            <w:vAlign w:val="bottom"/>
            <w:hideMark/>
          </w:tcPr>
          <w:p w:rsidR="005C7B73" w:rsidRPr="005C7B73" w:rsidRDefault="005C7B73" w:rsidP="005C7B73">
            <w:pPr>
              <w:spacing w:after="0" w:line="240" w:lineRule="auto"/>
              <w:jc w:val="right"/>
              <w:rPr>
                <w:rFonts w:ascii="Calibri" w:eastAsia="Times New Roman" w:hAnsi="Calibri" w:cs="Times New Roman"/>
                <w:color w:val="000000"/>
              </w:rPr>
            </w:pPr>
            <w:r w:rsidRPr="005C7B73">
              <w:rPr>
                <w:rFonts w:ascii="Calibri" w:eastAsia="Times New Roman" w:hAnsi="Calibri" w:cs="Times New Roman"/>
                <w:color w:val="000000"/>
              </w:rPr>
              <w:t>10.84</w:t>
            </w:r>
          </w:p>
        </w:tc>
        <w:tc>
          <w:tcPr>
            <w:tcW w:w="1056" w:type="dxa"/>
            <w:tcBorders>
              <w:top w:val="nil"/>
              <w:left w:val="nil"/>
              <w:bottom w:val="single" w:sz="8" w:space="0" w:color="auto"/>
              <w:right w:val="single" w:sz="4" w:space="0" w:color="auto"/>
            </w:tcBorders>
            <w:shd w:val="clear" w:color="auto" w:fill="auto"/>
            <w:noWrap/>
            <w:vAlign w:val="bottom"/>
            <w:hideMark/>
          </w:tcPr>
          <w:p w:rsidR="005C7B73" w:rsidRPr="005C7B73" w:rsidRDefault="005C7B73" w:rsidP="005C7B73">
            <w:pPr>
              <w:spacing w:after="0" w:line="240" w:lineRule="auto"/>
              <w:jc w:val="right"/>
              <w:rPr>
                <w:rFonts w:ascii="Calibri" w:eastAsia="Times New Roman" w:hAnsi="Calibri" w:cs="Times New Roman"/>
                <w:color w:val="000000"/>
              </w:rPr>
            </w:pPr>
            <w:r w:rsidRPr="005C7B73">
              <w:rPr>
                <w:rFonts w:ascii="Calibri" w:eastAsia="Times New Roman" w:hAnsi="Calibri" w:cs="Times New Roman"/>
                <w:color w:val="000000"/>
              </w:rPr>
              <w:t>8.65</w:t>
            </w:r>
          </w:p>
        </w:tc>
        <w:tc>
          <w:tcPr>
            <w:tcW w:w="1354" w:type="dxa"/>
            <w:tcBorders>
              <w:top w:val="nil"/>
              <w:left w:val="nil"/>
              <w:bottom w:val="single" w:sz="8" w:space="0" w:color="auto"/>
              <w:right w:val="single" w:sz="8" w:space="0" w:color="auto"/>
            </w:tcBorders>
            <w:shd w:val="clear" w:color="auto" w:fill="auto"/>
            <w:noWrap/>
            <w:vAlign w:val="bottom"/>
            <w:hideMark/>
          </w:tcPr>
          <w:p w:rsidR="005C7B73" w:rsidRPr="005C7B73" w:rsidRDefault="005C7B73" w:rsidP="005C7B73">
            <w:pPr>
              <w:spacing w:after="0" w:line="240" w:lineRule="auto"/>
              <w:jc w:val="right"/>
              <w:rPr>
                <w:rFonts w:ascii="Calibri" w:eastAsia="Times New Roman" w:hAnsi="Calibri" w:cs="Times New Roman"/>
                <w:color w:val="000000"/>
              </w:rPr>
            </w:pPr>
            <w:r w:rsidRPr="005C7B73">
              <w:rPr>
                <w:rFonts w:ascii="Calibri" w:eastAsia="Times New Roman" w:hAnsi="Calibri" w:cs="Times New Roman"/>
                <w:color w:val="000000"/>
              </w:rPr>
              <w:t>22.71</w:t>
            </w:r>
          </w:p>
        </w:tc>
      </w:tr>
    </w:tbl>
    <w:p w:rsidR="00570426" w:rsidRDefault="00570426" w:rsidP="00570426">
      <w:pPr>
        <w:pStyle w:val="NoSpacing"/>
      </w:pPr>
    </w:p>
    <w:p w:rsidR="00EE0D79" w:rsidRDefault="00570426" w:rsidP="00AE6A49">
      <w:pPr>
        <w:jc w:val="both"/>
      </w:pPr>
      <w:r>
        <w:t>T</w:t>
      </w:r>
      <w:r w:rsidR="00E44E0D">
        <w:t xml:space="preserve">hese uncertainties have a considerable impact on the calculation of absolute </w:t>
      </w:r>
      <w:r w:rsidR="00BB088B">
        <w:t xml:space="preserve">ditch </w:t>
      </w:r>
      <w:r w:rsidR="00E44E0D">
        <w:t xml:space="preserve">storage and continued efforts to refine these parameters will aid future calculations. However, as the uncertainties are currently applied equally to both the raised water level areas and non-raised water level areas, it is possible that they become less significant when assessing the </w:t>
      </w:r>
      <w:r w:rsidR="00BB088B">
        <w:t xml:space="preserve">ditch </w:t>
      </w:r>
      <w:r w:rsidR="00E44E0D">
        <w:t xml:space="preserve">storage volume of one in relation to the other. To establish the outer limits of the impact of uncertainty, the model </w:t>
      </w:r>
      <w:r w:rsidR="00E44E0D">
        <w:lastRenderedPageBreak/>
        <w:t>was tested using the combined maximum and minimum values of distance of influe</w:t>
      </w:r>
      <w:r w:rsidR="00A12490">
        <w:t>nce and specific yield (Table 13</w:t>
      </w:r>
      <w:r w:rsidR="00E44E0D">
        <w:t xml:space="preserve">). </w:t>
      </w:r>
      <w:r w:rsidR="009F5D32">
        <w:t xml:space="preserve">The results in table </w:t>
      </w:r>
      <w:r w:rsidR="00A12490">
        <w:t>13</w:t>
      </w:r>
      <w:r w:rsidR="003F05DE">
        <w:t xml:space="preserve"> indicate that although the impact of uncertainty on total </w:t>
      </w:r>
      <w:r w:rsidR="00BB088B">
        <w:t xml:space="preserve">ditch </w:t>
      </w:r>
      <w:r w:rsidR="003F05DE">
        <w:t xml:space="preserve">storage is considerable, expressed relative to the total volume of rainfall </w:t>
      </w:r>
      <w:r w:rsidR="00994CB4">
        <w:t xml:space="preserve">(winter 13/14) </w:t>
      </w:r>
      <w:r w:rsidR="003F05DE">
        <w:t xml:space="preserve">the mean range of percentage loss in </w:t>
      </w:r>
      <w:r w:rsidR="00BB088B">
        <w:t xml:space="preserve">ditch </w:t>
      </w:r>
      <w:r w:rsidR="003F05DE">
        <w:t xml:space="preserve">storage </w:t>
      </w:r>
      <w:r w:rsidR="00BB088B">
        <w:t xml:space="preserve">due to maintenance of RWLSs </w:t>
      </w:r>
      <w:r w:rsidR="003F05DE">
        <w:t>is 1.51% to 4.04%.</w:t>
      </w:r>
      <w:r w:rsidR="00F0797B">
        <w:t xml:space="preserve"> </w:t>
      </w:r>
    </w:p>
    <w:p w:rsidR="00EE0D79" w:rsidRDefault="00EE0D79" w:rsidP="00EE0D79">
      <w:pPr>
        <w:sectPr w:rsidR="00EE0D79" w:rsidSect="00EE0D79">
          <w:type w:val="continuous"/>
          <w:pgSz w:w="11906" w:h="16838"/>
          <w:pgMar w:top="1440" w:right="1440" w:bottom="1440" w:left="1440" w:header="708" w:footer="708" w:gutter="0"/>
          <w:cols w:space="708"/>
          <w:docGrid w:linePitch="360"/>
        </w:sectPr>
      </w:pPr>
    </w:p>
    <w:p w:rsidR="000536D2" w:rsidRPr="000536D2" w:rsidRDefault="000536D2" w:rsidP="000536D2">
      <w:pPr>
        <w:pStyle w:val="Caption"/>
        <w:keepNext/>
        <w:rPr>
          <w:b w:val="0"/>
          <w:color w:val="auto"/>
          <w:sz w:val="22"/>
          <w:szCs w:val="22"/>
        </w:rPr>
      </w:pPr>
      <w:r w:rsidRPr="000536D2">
        <w:rPr>
          <w:b w:val="0"/>
          <w:color w:val="auto"/>
          <w:sz w:val="22"/>
          <w:szCs w:val="22"/>
        </w:rPr>
        <w:lastRenderedPageBreak/>
        <w:t xml:space="preserve">Table </w:t>
      </w:r>
      <w:r w:rsidR="00251534" w:rsidRPr="000536D2">
        <w:rPr>
          <w:b w:val="0"/>
          <w:color w:val="auto"/>
          <w:sz w:val="22"/>
          <w:szCs w:val="22"/>
        </w:rPr>
        <w:fldChar w:fldCharType="begin"/>
      </w:r>
      <w:r w:rsidRPr="000536D2">
        <w:rPr>
          <w:b w:val="0"/>
          <w:color w:val="auto"/>
          <w:sz w:val="22"/>
          <w:szCs w:val="22"/>
        </w:rPr>
        <w:instrText xml:space="preserve"> SEQ Table \* ARABIC </w:instrText>
      </w:r>
      <w:r w:rsidR="00251534" w:rsidRPr="000536D2">
        <w:rPr>
          <w:b w:val="0"/>
          <w:color w:val="auto"/>
          <w:sz w:val="22"/>
          <w:szCs w:val="22"/>
        </w:rPr>
        <w:fldChar w:fldCharType="separate"/>
      </w:r>
      <w:r w:rsidR="000E193B">
        <w:rPr>
          <w:b w:val="0"/>
          <w:noProof/>
          <w:color w:val="auto"/>
          <w:sz w:val="22"/>
          <w:szCs w:val="22"/>
        </w:rPr>
        <w:t>14</w:t>
      </w:r>
      <w:r w:rsidR="00251534" w:rsidRPr="000536D2">
        <w:rPr>
          <w:b w:val="0"/>
          <w:color w:val="auto"/>
          <w:sz w:val="22"/>
          <w:szCs w:val="22"/>
        </w:rPr>
        <w:fldChar w:fldCharType="end"/>
      </w:r>
      <w:r w:rsidR="00F54328">
        <w:rPr>
          <w:b w:val="0"/>
          <w:color w:val="auto"/>
          <w:sz w:val="22"/>
          <w:szCs w:val="22"/>
        </w:rPr>
        <w:t>.</w:t>
      </w:r>
      <w:r w:rsidRPr="000536D2">
        <w:rPr>
          <w:b w:val="0"/>
          <w:color w:val="auto"/>
          <w:sz w:val="22"/>
          <w:szCs w:val="22"/>
        </w:rPr>
        <w:t xml:space="preserve"> Assessment of ditch storage volume in summer and winter in relation to the flood volume and extent observed 2014 and for a flood to the level of lowest section of road. Results are presented for WLMP areas where flood volume data exist. For each area the RWLA volume is calculated as the difference between the RWLA and IDB winter water levels, and summer </w:t>
      </w:r>
      <w:r w:rsidR="00BB088B">
        <w:rPr>
          <w:b w:val="0"/>
          <w:color w:val="auto"/>
          <w:sz w:val="22"/>
          <w:szCs w:val="22"/>
        </w:rPr>
        <w:t xml:space="preserve">ditch </w:t>
      </w:r>
      <w:r w:rsidRPr="000536D2">
        <w:rPr>
          <w:b w:val="0"/>
          <w:color w:val="auto"/>
          <w:sz w:val="22"/>
          <w:szCs w:val="22"/>
        </w:rPr>
        <w:t>storage is calculated as the difference between IDB summer and winter water levels.</w:t>
      </w:r>
    </w:p>
    <w:tbl>
      <w:tblPr>
        <w:tblW w:w="5188"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715"/>
        <w:gridCol w:w="993"/>
        <w:gridCol w:w="710"/>
        <w:gridCol w:w="698"/>
        <w:gridCol w:w="882"/>
        <w:gridCol w:w="677"/>
        <w:gridCol w:w="710"/>
        <w:gridCol w:w="850"/>
        <w:gridCol w:w="1851"/>
        <w:gridCol w:w="850"/>
        <w:gridCol w:w="844"/>
        <w:gridCol w:w="850"/>
        <w:gridCol w:w="850"/>
        <w:gridCol w:w="850"/>
        <w:gridCol w:w="850"/>
      </w:tblGrid>
      <w:tr w:rsidR="000536D2" w:rsidRPr="00C779C9" w:rsidTr="000536D2">
        <w:trPr>
          <w:cantSplit/>
          <w:trHeight w:val="2471"/>
          <w:tblHeader/>
        </w:trPr>
        <w:tc>
          <w:tcPr>
            <w:tcW w:w="487" w:type="pct"/>
            <w:tcMar>
              <w:top w:w="57" w:type="dxa"/>
              <w:left w:w="57" w:type="dxa"/>
              <w:bottom w:w="57" w:type="dxa"/>
              <w:right w:w="57" w:type="dxa"/>
            </w:tcMar>
            <w:vAlign w:val="bottom"/>
          </w:tcPr>
          <w:p w:rsidR="000536D2" w:rsidRPr="00C779C9" w:rsidRDefault="000536D2" w:rsidP="000536D2">
            <w:pPr>
              <w:spacing w:after="0" w:line="240" w:lineRule="auto"/>
              <w:jc w:val="center"/>
              <w:rPr>
                <w:rFonts w:cstheme="minorHAnsi"/>
                <w:b/>
                <w:bCs/>
                <w:color w:val="000000"/>
                <w:sz w:val="20"/>
                <w:szCs w:val="20"/>
              </w:rPr>
            </w:pPr>
            <w:r w:rsidRPr="00C779C9">
              <w:rPr>
                <w:rFonts w:cstheme="minorHAnsi"/>
                <w:b/>
                <w:bCs/>
                <w:color w:val="000000"/>
                <w:sz w:val="20"/>
                <w:szCs w:val="20"/>
              </w:rPr>
              <w:t>WLMP area</w:t>
            </w:r>
          </w:p>
        </w:tc>
        <w:tc>
          <w:tcPr>
            <w:tcW w:w="245" w:type="pct"/>
            <w:shd w:val="clear" w:color="auto" w:fill="auto"/>
            <w:tcMar>
              <w:top w:w="57" w:type="dxa"/>
              <w:left w:w="57" w:type="dxa"/>
              <w:bottom w:w="57" w:type="dxa"/>
              <w:right w:w="57" w:type="dxa"/>
            </w:tcMar>
            <w:textDirection w:val="btLr"/>
            <w:vAlign w:val="center"/>
            <w:hideMark/>
          </w:tcPr>
          <w:p w:rsidR="000536D2" w:rsidRPr="00C779C9" w:rsidRDefault="000536D2" w:rsidP="000536D2">
            <w:pPr>
              <w:spacing w:after="0" w:line="240" w:lineRule="auto"/>
              <w:rPr>
                <w:rFonts w:cstheme="minorHAnsi"/>
                <w:b/>
                <w:bCs/>
                <w:color w:val="000000"/>
                <w:sz w:val="20"/>
                <w:szCs w:val="20"/>
              </w:rPr>
            </w:pPr>
            <w:r w:rsidRPr="00C779C9">
              <w:rPr>
                <w:rFonts w:cstheme="minorHAnsi"/>
                <w:b/>
                <w:bCs/>
                <w:color w:val="000000"/>
                <w:sz w:val="20"/>
                <w:szCs w:val="20"/>
              </w:rPr>
              <w:t>Maximum flood level (mAOD)</w:t>
            </w:r>
          </w:p>
        </w:tc>
        <w:tc>
          <w:tcPr>
            <w:tcW w:w="340" w:type="pct"/>
            <w:shd w:val="clear" w:color="auto" w:fill="auto"/>
            <w:tcMar>
              <w:top w:w="57" w:type="dxa"/>
              <w:left w:w="57" w:type="dxa"/>
              <w:bottom w:w="57" w:type="dxa"/>
              <w:right w:w="57" w:type="dxa"/>
            </w:tcMar>
            <w:textDirection w:val="btLr"/>
            <w:vAlign w:val="center"/>
            <w:hideMark/>
          </w:tcPr>
          <w:p w:rsidR="000536D2" w:rsidRPr="00C779C9" w:rsidRDefault="000536D2" w:rsidP="000536D2">
            <w:pPr>
              <w:spacing w:after="0" w:line="240" w:lineRule="auto"/>
              <w:rPr>
                <w:rFonts w:cstheme="minorHAnsi"/>
                <w:b/>
                <w:bCs/>
                <w:color w:val="000000"/>
                <w:sz w:val="20"/>
                <w:szCs w:val="20"/>
              </w:rPr>
            </w:pPr>
            <w:r w:rsidRPr="00C779C9">
              <w:rPr>
                <w:rFonts w:cstheme="minorHAnsi"/>
                <w:b/>
                <w:bCs/>
                <w:color w:val="000000"/>
                <w:sz w:val="20"/>
                <w:szCs w:val="20"/>
              </w:rPr>
              <w:t>Maximum flood volume (m³) 2014</w:t>
            </w:r>
          </w:p>
        </w:tc>
        <w:tc>
          <w:tcPr>
            <w:tcW w:w="243" w:type="pct"/>
            <w:shd w:val="clear" w:color="auto" w:fill="auto"/>
            <w:tcMar>
              <w:top w:w="57" w:type="dxa"/>
              <w:left w:w="57" w:type="dxa"/>
              <w:bottom w:w="57" w:type="dxa"/>
              <w:right w:w="57" w:type="dxa"/>
            </w:tcMar>
            <w:textDirection w:val="btLr"/>
            <w:vAlign w:val="center"/>
            <w:hideMark/>
          </w:tcPr>
          <w:p w:rsidR="000536D2" w:rsidRPr="00C779C9" w:rsidRDefault="000536D2" w:rsidP="000536D2">
            <w:pPr>
              <w:spacing w:after="0" w:line="240" w:lineRule="auto"/>
              <w:rPr>
                <w:rFonts w:cstheme="minorHAnsi"/>
                <w:b/>
                <w:bCs/>
                <w:color w:val="000000"/>
                <w:sz w:val="20"/>
                <w:szCs w:val="20"/>
              </w:rPr>
            </w:pPr>
            <w:r w:rsidRPr="00C779C9">
              <w:rPr>
                <w:rFonts w:cstheme="minorHAnsi"/>
                <w:b/>
                <w:bCs/>
                <w:color w:val="000000"/>
                <w:sz w:val="20"/>
                <w:szCs w:val="20"/>
              </w:rPr>
              <w:t xml:space="preserve">Maximum </w:t>
            </w:r>
            <w:r>
              <w:rPr>
                <w:rFonts w:cstheme="minorHAnsi"/>
                <w:b/>
                <w:bCs/>
                <w:color w:val="000000"/>
                <w:sz w:val="20"/>
                <w:szCs w:val="20"/>
              </w:rPr>
              <w:t>f</w:t>
            </w:r>
            <w:r w:rsidRPr="00C779C9">
              <w:rPr>
                <w:rFonts w:cstheme="minorHAnsi"/>
                <w:b/>
                <w:bCs/>
                <w:color w:val="000000"/>
                <w:sz w:val="20"/>
                <w:szCs w:val="20"/>
              </w:rPr>
              <w:t>lood extent (ha) 2014</w:t>
            </w:r>
          </w:p>
        </w:tc>
        <w:tc>
          <w:tcPr>
            <w:tcW w:w="239" w:type="pct"/>
            <w:tcMar>
              <w:top w:w="57" w:type="dxa"/>
              <w:left w:w="57" w:type="dxa"/>
              <w:bottom w:w="57" w:type="dxa"/>
              <w:right w:w="57" w:type="dxa"/>
            </w:tcMar>
            <w:textDirection w:val="btLr"/>
            <w:vAlign w:val="center"/>
          </w:tcPr>
          <w:p w:rsidR="000536D2" w:rsidRPr="00C779C9" w:rsidRDefault="000536D2" w:rsidP="000536D2">
            <w:pPr>
              <w:spacing w:after="0" w:line="240" w:lineRule="auto"/>
              <w:rPr>
                <w:rFonts w:cstheme="minorHAnsi"/>
                <w:b/>
                <w:bCs/>
                <w:color w:val="000000"/>
                <w:sz w:val="20"/>
                <w:szCs w:val="20"/>
              </w:rPr>
            </w:pPr>
            <w:r w:rsidRPr="00C779C9">
              <w:rPr>
                <w:rFonts w:cstheme="minorHAnsi"/>
                <w:b/>
                <w:bCs/>
                <w:color w:val="000000"/>
                <w:sz w:val="20"/>
                <w:szCs w:val="20"/>
              </w:rPr>
              <w:t>Lowest road level  (mAOD)</w:t>
            </w:r>
          </w:p>
        </w:tc>
        <w:tc>
          <w:tcPr>
            <w:tcW w:w="302" w:type="pct"/>
            <w:tcMar>
              <w:top w:w="57" w:type="dxa"/>
              <w:left w:w="57" w:type="dxa"/>
              <w:bottom w:w="57" w:type="dxa"/>
              <w:right w:w="57" w:type="dxa"/>
            </w:tcMar>
            <w:textDirection w:val="btLr"/>
            <w:vAlign w:val="center"/>
          </w:tcPr>
          <w:p w:rsidR="000536D2" w:rsidRPr="00C779C9" w:rsidRDefault="000536D2" w:rsidP="000536D2">
            <w:pPr>
              <w:spacing w:after="0" w:line="240" w:lineRule="auto"/>
              <w:rPr>
                <w:rFonts w:cstheme="minorHAnsi"/>
                <w:b/>
                <w:bCs/>
                <w:color w:val="000000"/>
                <w:sz w:val="20"/>
                <w:szCs w:val="20"/>
              </w:rPr>
            </w:pPr>
            <w:r w:rsidRPr="00C779C9">
              <w:rPr>
                <w:rFonts w:cstheme="minorHAnsi"/>
                <w:b/>
                <w:bCs/>
                <w:color w:val="000000"/>
                <w:sz w:val="20"/>
                <w:szCs w:val="20"/>
              </w:rPr>
              <w:t xml:space="preserve">Flood volume to lowest road level (m³) </w:t>
            </w:r>
          </w:p>
        </w:tc>
        <w:tc>
          <w:tcPr>
            <w:tcW w:w="232" w:type="pct"/>
            <w:tcMar>
              <w:top w:w="57" w:type="dxa"/>
              <w:left w:w="57" w:type="dxa"/>
              <w:bottom w:w="57" w:type="dxa"/>
              <w:right w:w="57" w:type="dxa"/>
            </w:tcMar>
            <w:textDirection w:val="btLr"/>
            <w:vAlign w:val="center"/>
          </w:tcPr>
          <w:p w:rsidR="000536D2" w:rsidRPr="00C779C9" w:rsidRDefault="000536D2" w:rsidP="000536D2">
            <w:pPr>
              <w:spacing w:after="0" w:line="240" w:lineRule="auto"/>
              <w:rPr>
                <w:rFonts w:cstheme="minorHAnsi"/>
                <w:b/>
                <w:bCs/>
                <w:color w:val="000000"/>
                <w:sz w:val="20"/>
                <w:szCs w:val="20"/>
              </w:rPr>
            </w:pPr>
            <w:r w:rsidRPr="00C779C9">
              <w:rPr>
                <w:rFonts w:cstheme="minorHAnsi"/>
                <w:b/>
                <w:bCs/>
                <w:color w:val="000000"/>
                <w:sz w:val="20"/>
                <w:szCs w:val="20"/>
              </w:rPr>
              <w:t>Flood extent at lowest road level (ha)</w:t>
            </w:r>
          </w:p>
        </w:tc>
        <w:tc>
          <w:tcPr>
            <w:tcW w:w="243" w:type="pct"/>
            <w:tcMar>
              <w:top w:w="57" w:type="dxa"/>
              <w:left w:w="57" w:type="dxa"/>
              <w:bottom w:w="57" w:type="dxa"/>
              <w:right w:w="57" w:type="dxa"/>
            </w:tcMar>
            <w:textDirection w:val="btLr"/>
            <w:vAlign w:val="center"/>
          </w:tcPr>
          <w:p w:rsidR="000536D2" w:rsidRPr="00C779C9" w:rsidRDefault="000536D2" w:rsidP="000536D2">
            <w:pPr>
              <w:spacing w:after="0" w:line="240" w:lineRule="auto"/>
              <w:rPr>
                <w:rFonts w:cstheme="minorHAnsi"/>
                <w:b/>
                <w:bCs/>
                <w:color w:val="000000"/>
                <w:sz w:val="20"/>
                <w:szCs w:val="20"/>
              </w:rPr>
            </w:pPr>
            <w:r w:rsidRPr="00C779C9">
              <w:rPr>
                <w:rFonts w:cstheme="minorHAnsi"/>
                <w:b/>
                <w:bCs/>
                <w:color w:val="000000"/>
                <w:sz w:val="20"/>
                <w:szCs w:val="20"/>
              </w:rPr>
              <w:t>Permanent pump capacity (m³/s)</w:t>
            </w:r>
          </w:p>
        </w:tc>
        <w:tc>
          <w:tcPr>
            <w:tcW w:w="291" w:type="pct"/>
            <w:tcMar>
              <w:top w:w="57" w:type="dxa"/>
              <w:left w:w="57" w:type="dxa"/>
              <w:bottom w:w="57" w:type="dxa"/>
              <w:right w:w="57" w:type="dxa"/>
            </w:tcMar>
            <w:textDirection w:val="btLr"/>
            <w:vAlign w:val="center"/>
          </w:tcPr>
          <w:p w:rsidR="000536D2" w:rsidRPr="00C779C9" w:rsidRDefault="000536D2" w:rsidP="000536D2">
            <w:pPr>
              <w:spacing w:after="0" w:line="240" w:lineRule="auto"/>
              <w:rPr>
                <w:rFonts w:cstheme="minorHAnsi"/>
                <w:b/>
                <w:bCs/>
                <w:color w:val="000000"/>
                <w:sz w:val="20"/>
                <w:szCs w:val="20"/>
              </w:rPr>
            </w:pPr>
            <w:r w:rsidRPr="00C779C9">
              <w:rPr>
                <w:rFonts w:cstheme="minorHAnsi"/>
                <w:b/>
                <w:bCs/>
                <w:color w:val="000000"/>
                <w:sz w:val="20"/>
                <w:szCs w:val="20"/>
              </w:rPr>
              <w:t>Volume pumped per hour (m³/s) permanent capacity</w:t>
            </w:r>
          </w:p>
        </w:tc>
        <w:tc>
          <w:tcPr>
            <w:tcW w:w="634" w:type="pct"/>
            <w:tcMar>
              <w:top w:w="57" w:type="dxa"/>
              <w:left w:w="57" w:type="dxa"/>
              <w:bottom w:w="57" w:type="dxa"/>
              <w:right w:w="57" w:type="dxa"/>
            </w:tcMar>
            <w:vAlign w:val="bottom"/>
          </w:tcPr>
          <w:p w:rsidR="000536D2" w:rsidRPr="00C779C9" w:rsidRDefault="000536D2" w:rsidP="000536D2">
            <w:pPr>
              <w:spacing w:after="0" w:line="240" w:lineRule="auto"/>
              <w:jc w:val="center"/>
              <w:rPr>
                <w:rFonts w:cstheme="minorHAnsi"/>
                <w:b/>
                <w:bCs/>
                <w:color w:val="000000"/>
                <w:sz w:val="20"/>
                <w:szCs w:val="20"/>
              </w:rPr>
            </w:pPr>
            <w:r w:rsidRPr="00C779C9">
              <w:rPr>
                <w:rFonts w:cstheme="minorHAnsi"/>
                <w:b/>
                <w:bCs/>
                <w:color w:val="000000"/>
                <w:sz w:val="20"/>
                <w:szCs w:val="20"/>
              </w:rPr>
              <w:t>Seasonal water level management</w:t>
            </w:r>
          </w:p>
        </w:tc>
        <w:tc>
          <w:tcPr>
            <w:tcW w:w="291" w:type="pct"/>
            <w:tcMar>
              <w:top w:w="57" w:type="dxa"/>
              <w:left w:w="57" w:type="dxa"/>
              <w:bottom w:w="57" w:type="dxa"/>
              <w:right w:w="57" w:type="dxa"/>
            </w:tcMar>
            <w:textDirection w:val="btLr"/>
            <w:vAlign w:val="center"/>
          </w:tcPr>
          <w:p w:rsidR="000536D2" w:rsidRPr="00C779C9" w:rsidRDefault="000536D2" w:rsidP="000536D2">
            <w:pPr>
              <w:spacing w:after="0" w:line="240" w:lineRule="auto"/>
              <w:rPr>
                <w:rFonts w:cstheme="minorHAnsi"/>
                <w:b/>
                <w:bCs/>
                <w:color w:val="000000"/>
                <w:sz w:val="20"/>
                <w:szCs w:val="20"/>
              </w:rPr>
            </w:pPr>
            <w:r>
              <w:rPr>
                <w:rFonts w:cstheme="minorHAnsi"/>
                <w:b/>
                <w:bCs/>
                <w:color w:val="000000"/>
                <w:sz w:val="20"/>
                <w:szCs w:val="20"/>
              </w:rPr>
              <w:t>Volume occupied - c</w:t>
            </w:r>
            <w:r w:rsidRPr="00C779C9">
              <w:rPr>
                <w:rFonts w:cstheme="minorHAnsi"/>
                <w:b/>
                <w:bCs/>
                <w:color w:val="000000"/>
                <w:sz w:val="20"/>
                <w:szCs w:val="20"/>
              </w:rPr>
              <w:t>hannel and soil (m³)</w:t>
            </w:r>
          </w:p>
        </w:tc>
        <w:tc>
          <w:tcPr>
            <w:tcW w:w="289" w:type="pct"/>
            <w:tcMar>
              <w:top w:w="57" w:type="dxa"/>
              <w:left w:w="57" w:type="dxa"/>
              <w:bottom w:w="57" w:type="dxa"/>
              <w:right w:w="57" w:type="dxa"/>
            </w:tcMar>
            <w:textDirection w:val="btLr"/>
            <w:vAlign w:val="center"/>
          </w:tcPr>
          <w:p w:rsidR="000536D2" w:rsidRPr="00C779C9" w:rsidRDefault="000536D2" w:rsidP="000536D2">
            <w:pPr>
              <w:spacing w:after="0" w:line="240" w:lineRule="auto"/>
              <w:rPr>
                <w:rFonts w:cstheme="minorHAnsi"/>
                <w:b/>
                <w:bCs/>
                <w:color w:val="000000"/>
                <w:sz w:val="20"/>
                <w:szCs w:val="20"/>
              </w:rPr>
            </w:pPr>
            <w:r>
              <w:rPr>
                <w:rFonts w:cstheme="minorHAnsi"/>
                <w:b/>
                <w:bCs/>
                <w:color w:val="000000"/>
                <w:sz w:val="20"/>
                <w:szCs w:val="20"/>
              </w:rPr>
              <w:t xml:space="preserve">Volume occupied </w:t>
            </w:r>
            <w:r w:rsidRPr="00C779C9">
              <w:rPr>
                <w:rFonts w:cstheme="minorHAnsi"/>
                <w:b/>
                <w:bCs/>
                <w:color w:val="000000"/>
                <w:sz w:val="20"/>
                <w:szCs w:val="20"/>
              </w:rPr>
              <w:t>as a</w:t>
            </w:r>
            <w:r>
              <w:rPr>
                <w:rFonts w:cstheme="minorHAnsi"/>
                <w:b/>
                <w:bCs/>
                <w:color w:val="000000"/>
                <w:sz w:val="20"/>
                <w:szCs w:val="20"/>
              </w:rPr>
              <w:t xml:space="preserve"> proportion of max flood volume </w:t>
            </w:r>
            <w:r w:rsidRPr="00C779C9">
              <w:rPr>
                <w:rFonts w:cstheme="minorHAnsi"/>
                <w:b/>
                <w:bCs/>
                <w:color w:val="000000"/>
                <w:sz w:val="20"/>
                <w:szCs w:val="20"/>
              </w:rPr>
              <w:t>2014</w:t>
            </w:r>
            <w:r>
              <w:rPr>
                <w:rFonts w:cstheme="minorHAnsi"/>
                <w:b/>
                <w:bCs/>
                <w:color w:val="000000"/>
                <w:sz w:val="20"/>
                <w:szCs w:val="20"/>
              </w:rPr>
              <w:t xml:space="preserve"> </w:t>
            </w:r>
            <w:r w:rsidRPr="00C779C9">
              <w:rPr>
                <w:rFonts w:cstheme="minorHAnsi"/>
                <w:b/>
                <w:bCs/>
                <w:color w:val="000000"/>
                <w:sz w:val="20"/>
                <w:szCs w:val="20"/>
              </w:rPr>
              <w:t>(%)</w:t>
            </w:r>
          </w:p>
        </w:tc>
        <w:tc>
          <w:tcPr>
            <w:tcW w:w="291" w:type="pct"/>
            <w:shd w:val="clear" w:color="auto" w:fill="auto"/>
            <w:tcMar>
              <w:top w:w="57" w:type="dxa"/>
              <w:left w:w="57" w:type="dxa"/>
              <w:bottom w:w="57" w:type="dxa"/>
              <w:right w:w="57" w:type="dxa"/>
            </w:tcMar>
            <w:textDirection w:val="btLr"/>
            <w:vAlign w:val="center"/>
            <w:hideMark/>
          </w:tcPr>
          <w:p w:rsidR="000536D2" w:rsidRPr="00C779C9" w:rsidRDefault="000536D2" w:rsidP="000536D2">
            <w:pPr>
              <w:spacing w:after="0" w:line="240" w:lineRule="auto"/>
              <w:rPr>
                <w:rFonts w:cstheme="minorHAnsi"/>
                <w:b/>
                <w:bCs/>
                <w:color w:val="000000"/>
                <w:sz w:val="20"/>
                <w:szCs w:val="20"/>
              </w:rPr>
            </w:pPr>
            <w:r w:rsidRPr="00C779C9">
              <w:rPr>
                <w:rFonts w:cstheme="minorHAnsi"/>
                <w:b/>
                <w:bCs/>
                <w:color w:val="000000"/>
                <w:sz w:val="20"/>
                <w:szCs w:val="20"/>
              </w:rPr>
              <w:t xml:space="preserve">Increase in flood level at max flood </w:t>
            </w:r>
            <w:r>
              <w:rPr>
                <w:rFonts w:cstheme="minorHAnsi"/>
                <w:b/>
                <w:bCs/>
                <w:color w:val="000000"/>
                <w:sz w:val="20"/>
                <w:szCs w:val="20"/>
              </w:rPr>
              <w:t xml:space="preserve">extent due to volume occupied </w:t>
            </w:r>
            <w:r w:rsidRPr="00C779C9">
              <w:rPr>
                <w:rFonts w:cstheme="minorHAnsi"/>
                <w:b/>
                <w:bCs/>
                <w:color w:val="000000"/>
                <w:sz w:val="20"/>
                <w:szCs w:val="20"/>
              </w:rPr>
              <w:t>2014</w:t>
            </w:r>
            <w:r>
              <w:rPr>
                <w:rFonts w:cstheme="minorHAnsi"/>
                <w:b/>
                <w:bCs/>
                <w:color w:val="000000"/>
                <w:sz w:val="20"/>
                <w:szCs w:val="20"/>
              </w:rPr>
              <w:t xml:space="preserve"> </w:t>
            </w:r>
            <w:r w:rsidRPr="00C779C9">
              <w:rPr>
                <w:rFonts w:cstheme="minorHAnsi"/>
                <w:b/>
                <w:bCs/>
                <w:color w:val="000000"/>
                <w:sz w:val="20"/>
                <w:szCs w:val="20"/>
              </w:rPr>
              <w:t>(cm)</w:t>
            </w:r>
          </w:p>
        </w:tc>
        <w:tc>
          <w:tcPr>
            <w:tcW w:w="291" w:type="pct"/>
            <w:tcMar>
              <w:top w:w="57" w:type="dxa"/>
              <w:left w:w="57" w:type="dxa"/>
              <w:bottom w:w="57" w:type="dxa"/>
              <w:right w:w="57" w:type="dxa"/>
            </w:tcMar>
            <w:textDirection w:val="btLr"/>
            <w:vAlign w:val="center"/>
          </w:tcPr>
          <w:p w:rsidR="000536D2" w:rsidRPr="00C779C9" w:rsidRDefault="000536D2" w:rsidP="000536D2">
            <w:pPr>
              <w:spacing w:after="0" w:line="240" w:lineRule="auto"/>
              <w:rPr>
                <w:rFonts w:cstheme="minorHAnsi"/>
                <w:b/>
                <w:bCs/>
                <w:color w:val="000000"/>
                <w:sz w:val="20"/>
                <w:szCs w:val="20"/>
              </w:rPr>
            </w:pPr>
            <w:r>
              <w:rPr>
                <w:rFonts w:cstheme="minorHAnsi"/>
                <w:b/>
                <w:bCs/>
                <w:color w:val="000000"/>
                <w:sz w:val="20"/>
                <w:szCs w:val="20"/>
              </w:rPr>
              <w:t xml:space="preserve">Volume occupied </w:t>
            </w:r>
            <w:r w:rsidRPr="00C779C9">
              <w:rPr>
                <w:rFonts w:cstheme="minorHAnsi"/>
                <w:b/>
                <w:bCs/>
                <w:color w:val="000000"/>
                <w:sz w:val="20"/>
                <w:szCs w:val="20"/>
              </w:rPr>
              <w:t xml:space="preserve">as a proportion of flood volume to the lowest road level (%) </w:t>
            </w:r>
          </w:p>
        </w:tc>
        <w:tc>
          <w:tcPr>
            <w:tcW w:w="291" w:type="pct"/>
            <w:tcMar>
              <w:top w:w="57" w:type="dxa"/>
              <w:left w:w="57" w:type="dxa"/>
              <w:bottom w:w="57" w:type="dxa"/>
              <w:right w:w="57" w:type="dxa"/>
            </w:tcMar>
            <w:textDirection w:val="btLr"/>
            <w:vAlign w:val="center"/>
          </w:tcPr>
          <w:p w:rsidR="000536D2" w:rsidRPr="00C779C9" w:rsidRDefault="000536D2" w:rsidP="000536D2">
            <w:pPr>
              <w:spacing w:after="0" w:line="240" w:lineRule="auto"/>
              <w:rPr>
                <w:rFonts w:cstheme="minorHAnsi"/>
                <w:b/>
                <w:bCs/>
                <w:color w:val="000000"/>
                <w:sz w:val="20"/>
                <w:szCs w:val="20"/>
              </w:rPr>
            </w:pPr>
            <w:r w:rsidRPr="00C779C9">
              <w:rPr>
                <w:rFonts w:cstheme="minorHAnsi"/>
                <w:b/>
                <w:bCs/>
                <w:color w:val="000000"/>
                <w:sz w:val="20"/>
                <w:szCs w:val="20"/>
              </w:rPr>
              <w:t xml:space="preserve">Increase in flood level at lowest road level due to </w:t>
            </w:r>
            <w:r>
              <w:rPr>
                <w:rFonts w:cstheme="minorHAnsi"/>
                <w:b/>
                <w:bCs/>
                <w:color w:val="000000"/>
                <w:sz w:val="20"/>
                <w:szCs w:val="20"/>
              </w:rPr>
              <w:t>volume occupied</w:t>
            </w:r>
            <w:r w:rsidRPr="00C779C9">
              <w:rPr>
                <w:rFonts w:cstheme="minorHAnsi"/>
                <w:b/>
                <w:bCs/>
                <w:color w:val="000000"/>
                <w:sz w:val="20"/>
                <w:szCs w:val="20"/>
              </w:rPr>
              <w:t xml:space="preserve"> (cm)</w:t>
            </w:r>
          </w:p>
        </w:tc>
        <w:tc>
          <w:tcPr>
            <w:tcW w:w="291" w:type="pct"/>
            <w:tcMar>
              <w:top w:w="57" w:type="dxa"/>
              <w:left w:w="57" w:type="dxa"/>
              <w:bottom w:w="57" w:type="dxa"/>
              <w:right w:w="57" w:type="dxa"/>
            </w:tcMar>
            <w:textDirection w:val="btLr"/>
            <w:vAlign w:val="center"/>
          </w:tcPr>
          <w:p w:rsidR="000536D2" w:rsidRPr="00C779C9" w:rsidRDefault="000536D2" w:rsidP="000536D2">
            <w:pPr>
              <w:spacing w:after="0" w:line="240" w:lineRule="auto"/>
              <w:rPr>
                <w:rFonts w:cstheme="minorHAnsi"/>
                <w:b/>
                <w:bCs/>
                <w:color w:val="000000"/>
                <w:sz w:val="20"/>
                <w:szCs w:val="20"/>
              </w:rPr>
            </w:pPr>
            <w:r w:rsidRPr="00C779C9">
              <w:rPr>
                <w:rFonts w:cstheme="minorHAnsi"/>
                <w:b/>
                <w:bCs/>
                <w:color w:val="000000"/>
                <w:sz w:val="20"/>
                <w:szCs w:val="20"/>
              </w:rPr>
              <w:t xml:space="preserve">Pump hours to evacuate </w:t>
            </w:r>
            <w:r>
              <w:rPr>
                <w:rFonts w:cstheme="minorHAnsi"/>
                <w:b/>
                <w:bCs/>
                <w:color w:val="000000"/>
                <w:sz w:val="20"/>
                <w:szCs w:val="20"/>
              </w:rPr>
              <w:t xml:space="preserve"> volume occupied</w:t>
            </w:r>
            <w:r w:rsidRPr="00C779C9">
              <w:rPr>
                <w:rFonts w:cstheme="minorHAnsi"/>
                <w:b/>
                <w:bCs/>
                <w:color w:val="000000"/>
                <w:sz w:val="20"/>
                <w:szCs w:val="20"/>
              </w:rPr>
              <w:t xml:space="preserve"> </w:t>
            </w:r>
            <w:r>
              <w:rPr>
                <w:rFonts w:cstheme="minorHAnsi"/>
                <w:b/>
                <w:bCs/>
                <w:color w:val="000000"/>
                <w:sz w:val="20"/>
                <w:szCs w:val="20"/>
              </w:rPr>
              <w:t>by</w:t>
            </w:r>
            <w:r w:rsidRPr="00C779C9">
              <w:rPr>
                <w:rFonts w:cstheme="minorHAnsi"/>
                <w:b/>
                <w:bCs/>
                <w:color w:val="000000"/>
                <w:sz w:val="20"/>
                <w:szCs w:val="20"/>
              </w:rPr>
              <w:t xml:space="preserve"> permanent </w:t>
            </w:r>
            <w:r>
              <w:rPr>
                <w:rFonts w:cstheme="minorHAnsi"/>
                <w:b/>
                <w:bCs/>
                <w:color w:val="000000"/>
                <w:sz w:val="20"/>
                <w:szCs w:val="20"/>
              </w:rPr>
              <w:t xml:space="preserve">station </w:t>
            </w:r>
            <w:r w:rsidRPr="00C779C9">
              <w:rPr>
                <w:rFonts w:cstheme="minorHAnsi"/>
                <w:b/>
                <w:bCs/>
                <w:color w:val="000000"/>
                <w:sz w:val="20"/>
                <w:szCs w:val="20"/>
              </w:rPr>
              <w:t>capacity</w:t>
            </w:r>
          </w:p>
        </w:tc>
      </w:tr>
      <w:tr w:rsidR="000536D2" w:rsidRPr="00C779C9" w:rsidTr="000536D2">
        <w:trPr>
          <w:trHeight w:val="284"/>
        </w:trPr>
        <w:tc>
          <w:tcPr>
            <w:tcW w:w="487" w:type="pct"/>
            <w:vMerge w:val="restart"/>
            <w:tcMar>
              <w:top w:w="57" w:type="dxa"/>
              <w:left w:w="57" w:type="dxa"/>
              <w:bottom w:w="57" w:type="dxa"/>
              <w:right w:w="57" w:type="dxa"/>
            </w:tcMar>
            <w:vAlign w:val="center"/>
          </w:tcPr>
          <w:p w:rsidR="000536D2" w:rsidRPr="00C779C9" w:rsidRDefault="000536D2" w:rsidP="000536D2">
            <w:pPr>
              <w:spacing w:after="0" w:line="240" w:lineRule="auto"/>
              <w:rPr>
                <w:rFonts w:cstheme="minorHAnsi"/>
                <w:b/>
                <w:bCs/>
                <w:color w:val="000000"/>
                <w:sz w:val="20"/>
                <w:szCs w:val="20"/>
              </w:rPr>
            </w:pPr>
            <w:r w:rsidRPr="00C779C9">
              <w:rPr>
                <w:rFonts w:cstheme="minorHAnsi"/>
                <w:b/>
                <w:bCs/>
                <w:color w:val="000000"/>
                <w:sz w:val="20"/>
                <w:szCs w:val="20"/>
              </w:rPr>
              <w:t>Brue Valley North</w:t>
            </w:r>
          </w:p>
        </w:tc>
        <w:tc>
          <w:tcPr>
            <w:tcW w:w="245" w:type="pct"/>
            <w:vMerge w:val="restart"/>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2.62</w:t>
            </w:r>
          </w:p>
        </w:tc>
        <w:tc>
          <w:tcPr>
            <w:tcW w:w="340" w:type="pct"/>
            <w:vMerge w:val="restart"/>
            <w:shd w:val="clear" w:color="auto" w:fill="auto"/>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4226000</w:t>
            </w:r>
          </w:p>
        </w:tc>
        <w:tc>
          <w:tcPr>
            <w:tcW w:w="243" w:type="pct"/>
            <w:vMerge w:val="restart"/>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994</w:t>
            </w:r>
          </w:p>
        </w:tc>
        <w:tc>
          <w:tcPr>
            <w:tcW w:w="239"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Pr>
                <w:rFonts w:cstheme="minorHAnsi"/>
                <w:color w:val="000000"/>
                <w:sz w:val="20"/>
                <w:szCs w:val="20"/>
              </w:rPr>
              <w:t>2.5</w:t>
            </w:r>
          </w:p>
        </w:tc>
        <w:tc>
          <w:tcPr>
            <w:tcW w:w="302" w:type="pct"/>
            <w:vMerge w:val="restart"/>
            <w:tcMar>
              <w:top w:w="57" w:type="dxa"/>
              <w:left w:w="57" w:type="dxa"/>
              <w:bottom w:w="57" w:type="dxa"/>
              <w:right w:w="57" w:type="dxa"/>
            </w:tcMar>
            <w:vAlign w:val="center"/>
          </w:tcPr>
          <w:p w:rsidR="000536D2" w:rsidRDefault="000536D2" w:rsidP="000536D2">
            <w:pPr>
              <w:spacing w:after="0" w:line="240" w:lineRule="auto"/>
              <w:jc w:val="right"/>
              <w:rPr>
                <w:rFonts w:ascii="Calibri" w:hAnsi="Calibri" w:cs="Calibri"/>
                <w:color w:val="000000"/>
                <w:sz w:val="20"/>
                <w:szCs w:val="20"/>
              </w:rPr>
            </w:pPr>
            <w:r>
              <w:rPr>
                <w:rFonts w:ascii="Calibri" w:hAnsi="Calibri" w:cs="Calibri"/>
                <w:color w:val="000000"/>
                <w:sz w:val="20"/>
                <w:szCs w:val="20"/>
              </w:rPr>
              <w:t>3091000</w:t>
            </w:r>
          </w:p>
        </w:tc>
        <w:tc>
          <w:tcPr>
            <w:tcW w:w="232" w:type="pct"/>
            <w:vMerge w:val="restart"/>
            <w:tcMar>
              <w:top w:w="57" w:type="dxa"/>
              <w:left w:w="57" w:type="dxa"/>
              <w:bottom w:w="57" w:type="dxa"/>
              <w:right w:w="57" w:type="dxa"/>
            </w:tcMar>
            <w:vAlign w:val="center"/>
          </w:tcPr>
          <w:p w:rsidR="000536D2" w:rsidRDefault="000536D2" w:rsidP="000536D2">
            <w:pPr>
              <w:spacing w:after="0" w:line="240" w:lineRule="auto"/>
              <w:jc w:val="right"/>
              <w:rPr>
                <w:rFonts w:ascii="Calibri" w:hAnsi="Calibri" w:cs="Calibri"/>
                <w:color w:val="000000"/>
                <w:sz w:val="20"/>
                <w:szCs w:val="20"/>
              </w:rPr>
            </w:pPr>
            <w:r>
              <w:rPr>
                <w:rFonts w:ascii="Calibri" w:hAnsi="Calibri" w:cs="Calibri"/>
                <w:color w:val="000000"/>
                <w:sz w:val="20"/>
                <w:szCs w:val="20"/>
              </w:rPr>
              <w:t>931</w:t>
            </w:r>
          </w:p>
        </w:tc>
        <w:tc>
          <w:tcPr>
            <w:tcW w:w="243"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6.8</w:t>
            </w:r>
          </w:p>
        </w:tc>
        <w:tc>
          <w:tcPr>
            <w:tcW w:w="291"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24480</w:t>
            </w:r>
          </w:p>
        </w:tc>
        <w:tc>
          <w:tcPr>
            <w:tcW w:w="634" w:type="pct"/>
            <w:tcMar>
              <w:top w:w="57" w:type="dxa"/>
              <w:left w:w="57" w:type="dxa"/>
              <w:bottom w:w="57" w:type="dxa"/>
              <w:right w:w="57" w:type="dxa"/>
            </w:tcMar>
            <w:vAlign w:val="center"/>
          </w:tcPr>
          <w:p w:rsidR="000536D2" w:rsidRPr="00C779C9" w:rsidRDefault="000536D2" w:rsidP="000536D2">
            <w:pPr>
              <w:spacing w:after="0" w:line="240" w:lineRule="auto"/>
              <w:rPr>
                <w:rFonts w:cstheme="minorHAnsi"/>
                <w:color w:val="000000"/>
                <w:sz w:val="20"/>
                <w:szCs w:val="20"/>
              </w:rPr>
            </w:pPr>
            <w:r w:rsidRPr="00C779C9">
              <w:rPr>
                <w:rFonts w:cstheme="minorHAnsi"/>
                <w:color w:val="000000"/>
                <w:sz w:val="20"/>
                <w:szCs w:val="20"/>
              </w:rPr>
              <w:t>RWLA volume</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58404</w:t>
            </w:r>
          </w:p>
        </w:tc>
        <w:tc>
          <w:tcPr>
            <w:tcW w:w="289"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1.38</w:t>
            </w:r>
          </w:p>
        </w:tc>
        <w:tc>
          <w:tcPr>
            <w:tcW w:w="291" w:type="pct"/>
            <w:shd w:val="clear" w:color="auto" w:fill="auto"/>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0.59</w:t>
            </w:r>
          </w:p>
        </w:tc>
        <w:tc>
          <w:tcPr>
            <w:tcW w:w="291" w:type="pct"/>
            <w:tcMar>
              <w:top w:w="57" w:type="dxa"/>
              <w:left w:w="57" w:type="dxa"/>
              <w:bottom w:w="57" w:type="dxa"/>
              <w:right w:w="57" w:type="dxa"/>
            </w:tcMar>
            <w:vAlign w:val="center"/>
          </w:tcPr>
          <w:p w:rsidR="000536D2" w:rsidRDefault="000536D2" w:rsidP="000536D2">
            <w:pPr>
              <w:spacing w:after="0" w:line="240" w:lineRule="auto"/>
              <w:jc w:val="right"/>
              <w:rPr>
                <w:rFonts w:ascii="Calibri" w:hAnsi="Calibri" w:cs="Calibri"/>
                <w:color w:val="000000"/>
                <w:sz w:val="20"/>
                <w:szCs w:val="20"/>
              </w:rPr>
            </w:pPr>
            <w:r>
              <w:rPr>
                <w:rFonts w:ascii="Calibri" w:hAnsi="Calibri" w:cs="Calibri"/>
                <w:color w:val="000000"/>
                <w:sz w:val="20"/>
                <w:szCs w:val="20"/>
              </w:rPr>
              <w:t>1.89</w:t>
            </w:r>
          </w:p>
        </w:tc>
        <w:tc>
          <w:tcPr>
            <w:tcW w:w="291" w:type="pct"/>
            <w:tcMar>
              <w:top w:w="57" w:type="dxa"/>
              <w:left w:w="57" w:type="dxa"/>
              <w:bottom w:w="57" w:type="dxa"/>
              <w:right w:w="57" w:type="dxa"/>
            </w:tcMar>
            <w:vAlign w:val="center"/>
          </w:tcPr>
          <w:p w:rsidR="000536D2" w:rsidRDefault="000536D2" w:rsidP="000536D2">
            <w:pPr>
              <w:spacing w:after="0" w:line="240" w:lineRule="auto"/>
              <w:jc w:val="right"/>
              <w:rPr>
                <w:rFonts w:ascii="Calibri" w:hAnsi="Calibri" w:cs="Calibri"/>
                <w:color w:val="000000"/>
                <w:sz w:val="20"/>
                <w:szCs w:val="20"/>
              </w:rPr>
            </w:pPr>
            <w:r>
              <w:rPr>
                <w:rFonts w:ascii="Calibri" w:hAnsi="Calibri" w:cs="Calibri"/>
                <w:color w:val="000000"/>
                <w:sz w:val="20"/>
                <w:szCs w:val="20"/>
              </w:rPr>
              <w:t>0.63</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2.39</w:t>
            </w:r>
          </w:p>
        </w:tc>
      </w:tr>
      <w:tr w:rsidR="000536D2" w:rsidRPr="00C779C9" w:rsidTr="000536D2">
        <w:trPr>
          <w:trHeight w:val="284"/>
        </w:trPr>
        <w:tc>
          <w:tcPr>
            <w:tcW w:w="487" w:type="pct"/>
            <w:vMerge/>
            <w:tcMar>
              <w:top w:w="57" w:type="dxa"/>
              <w:left w:w="57" w:type="dxa"/>
              <w:bottom w:w="57" w:type="dxa"/>
              <w:right w:w="57" w:type="dxa"/>
            </w:tcMar>
            <w:vAlign w:val="center"/>
          </w:tcPr>
          <w:p w:rsidR="000536D2" w:rsidRPr="00C779C9" w:rsidRDefault="000536D2" w:rsidP="000536D2">
            <w:pPr>
              <w:spacing w:after="0" w:line="240" w:lineRule="auto"/>
              <w:rPr>
                <w:rFonts w:eastAsia="Times New Roman" w:cstheme="minorHAnsi"/>
                <w:b/>
                <w:color w:val="000000"/>
                <w:sz w:val="20"/>
                <w:szCs w:val="20"/>
              </w:rPr>
            </w:pPr>
          </w:p>
        </w:tc>
        <w:tc>
          <w:tcPr>
            <w:tcW w:w="245" w:type="pct"/>
            <w:vMerge/>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eastAsia="Times New Roman" w:cstheme="minorHAnsi"/>
                <w:color w:val="000000"/>
                <w:sz w:val="20"/>
                <w:szCs w:val="20"/>
              </w:rPr>
            </w:pPr>
          </w:p>
        </w:tc>
        <w:tc>
          <w:tcPr>
            <w:tcW w:w="340" w:type="pct"/>
            <w:vMerge/>
            <w:shd w:val="clear" w:color="auto" w:fill="auto"/>
            <w:tcMar>
              <w:top w:w="57" w:type="dxa"/>
              <w:left w:w="57" w:type="dxa"/>
              <w:bottom w:w="57" w:type="dxa"/>
              <w:right w:w="57" w:type="dxa"/>
            </w:tcMar>
            <w:vAlign w:val="center"/>
            <w:hideMark/>
          </w:tcPr>
          <w:p w:rsidR="000536D2" w:rsidRPr="00C779C9" w:rsidRDefault="000536D2" w:rsidP="000536D2">
            <w:pPr>
              <w:spacing w:after="0" w:line="240" w:lineRule="auto"/>
              <w:jc w:val="right"/>
              <w:rPr>
                <w:rFonts w:eastAsia="Times New Roman" w:cstheme="minorHAnsi"/>
                <w:color w:val="000000"/>
                <w:sz w:val="20"/>
                <w:szCs w:val="20"/>
              </w:rPr>
            </w:pPr>
          </w:p>
        </w:tc>
        <w:tc>
          <w:tcPr>
            <w:tcW w:w="243" w:type="pct"/>
            <w:vMerge/>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eastAsia="Times New Roman" w:cstheme="minorHAnsi"/>
                <w:color w:val="000000"/>
                <w:sz w:val="20"/>
                <w:szCs w:val="20"/>
              </w:rPr>
            </w:pPr>
          </w:p>
        </w:tc>
        <w:tc>
          <w:tcPr>
            <w:tcW w:w="239"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302"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232"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243"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291"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634" w:type="pct"/>
            <w:tcMar>
              <w:top w:w="57" w:type="dxa"/>
              <w:left w:w="57" w:type="dxa"/>
              <w:bottom w:w="57" w:type="dxa"/>
              <w:right w:w="57" w:type="dxa"/>
            </w:tcMar>
            <w:vAlign w:val="center"/>
          </w:tcPr>
          <w:p w:rsidR="000536D2" w:rsidRPr="00C779C9" w:rsidRDefault="000536D2" w:rsidP="000536D2">
            <w:pPr>
              <w:spacing w:after="0" w:line="240" w:lineRule="auto"/>
              <w:rPr>
                <w:rFonts w:eastAsia="Times New Roman" w:cstheme="minorHAnsi"/>
                <w:color w:val="000000"/>
                <w:sz w:val="20"/>
                <w:szCs w:val="20"/>
              </w:rPr>
            </w:pPr>
            <w:r w:rsidRPr="00C779C9">
              <w:rPr>
                <w:rFonts w:cstheme="minorHAnsi"/>
                <w:color w:val="000000"/>
                <w:sz w:val="20"/>
                <w:szCs w:val="20"/>
              </w:rPr>
              <w:t>Summer pen volume</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r w:rsidRPr="00C779C9">
              <w:rPr>
                <w:rFonts w:cstheme="minorHAnsi"/>
                <w:color w:val="000000"/>
                <w:sz w:val="20"/>
                <w:szCs w:val="20"/>
              </w:rPr>
              <w:t>616848</w:t>
            </w:r>
          </w:p>
        </w:tc>
        <w:tc>
          <w:tcPr>
            <w:tcW w:w="289" w:type="pct"/>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r w:rsidRPr="00C779C9">
              <w:rPr>
                <w:rFonts w:cstheme="minorHAnsi"/>
                <w:color w:val="000000"/>
                <w:sz w:val="20"/>
                <w:szCs w:val="20"/>
              </w:rPr>
              <w:t>14.6</w:t>
            </w:r>
          </w:p>
        </w:tc>
        <w:tc>
          <w:tcPr>
            <w:tcW w:w="291" w:type="pct"/>
            <w:shd w:val="clear" w:color="auto" w:fill="auto"/>
            <w:tcMar>
              <w:top w:w="57" w:type="dxa"/>
              <w:left w:w="57" w:type="dxa"/>
              <w:bottom w:w="57" w:type="dxa"/>
              <w:right w:w="57" w:type="dxa"/>
            </w:tcMar>
            <w:vAlign w:val="center"/>
            <w:hideMark/>
          </w:tcPr>
          <w:p w:rsidR="000536D2" w:rsidRPr="00C779C9" w:rsidRDefault="000536D2" w:rsidP="000536D2">
            <w:pPr>
              <w:spacing w:after="0" w:line="240" w:lineRule="auto"/>
              <w:jc w:val="right"/>
              <w:rPr>
                <w:rFonts w:eastAsia="Times New Roman" w:cstheme="minorHAnsi"/>
                <w:color w:val="000000"/>
                <w:sz w:val="20"/>
                <w:szCs w:val="20"/>
              </w:rPr>
            </w:pPr>
            <w:r w:rsidRPr="00C779C9">
              <w:rPr>
                <w:rFonts w:cstheme="minorHAnsi"/>
                <w:color w:val="000000"/>
                <w:sz w:val="20"/>
                <w:szCs w:val="20"/>
              </w:rPr>
              <w:t>6.21</w:t>
            </w:r>
          </w:p>
        </w:tc>
        <w:tc>
          <w:tcPr>
            <w:tcW w:w="291" w:type="pct"/>
            <w:tcMar>
              <w:top w:w="57" w:type="dxa"/>
              <w:left w:w="57" w:type="dxa"/>
              <w:bottom w:w="57" w:type="dxa"/>
              <w:right w:w="57" w:type="dxa"/>
            </w:tcMar>
            <w:vAlign w:val="center"/>
          </w:tcPr>
          <w:p w:rsidR="000536D2" w:rsidRDefault="000536D2" w:rsidP="000536D2">
            <w:pPr>
              <w:spacing w:after="0" w:line="240" w:lineRule="auto"/>
              <w:jc w:val="right"/>
              <w:rPr>
                <w:rFonts w:ascii="Calibri" w:hAnsi="Calibri" w:cs="Calibri"/>
                <w:color w:val="000000"/>
                <w:sz w:val="20"/>
                <w:szCs w:val="20"/>
              </w:rPr>
            </w:pPr>
            <w:r>
              <w:rPr>
                <w:rFonts w:ascii="Calibri" w:hAnsi="Calibri" w:cs="Calibri"/>
                <w:color w:val="000000"/>
                <w:sz w:val="20"/>
                <w:szCs w:val="20"/>
              </w:rPr>
              <w:t>19.96</w:t>
            </w:r>
          </w:p>
        </w:tc>
        <w:tc>
          <w:tcPr>
            <w:tcW w:w="291" w:type="pct"/>
            <w:tcMar>
              <w:top w:w="57" w:type="dxa"/>
              <w:left w:w="57" w:type="dxa"/>
              <w:bottom w:w="57" w:type="dxa"/>
              <w:right w:w="57" w:type="dxa"/>
            </w:tcMar>
            <w:vAlign w:val="center"/>
          </w:tcPr>
          <w:p w:rsidR="000536D2" w:rsidRDefault="000536D2" w:rsidP="000536D2">
            <w:pPr>
              <w:spacing w:after="0" w:line="240" w:lineRule="auto"/>
              <w:jc w:val="right"/>
              <w:rPr>
                <w:rFonts w:ascii="Calibri" w:hAnsi="Calibri" w:cs="Calibri"/>
                <w:color w:val="000000"/>
                <w:sz w:val="20"/>
                <w:szCs w:val="20"/>
              </w:rPr>
            </w:pPr>
            <w:r>
              <w:rPr>
                <w:rFonts w:ascii="Calibri" w:hAnsi="Calibri" w:cs="Calibri"/>
                <w:color w:val="000000"/>
                <w:sz w:val="20"/>
                <w:szCs w:val="20"/>
              </w:rPr>
              <w:t>6.63</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sz w:val="20"/>
                <w:szCs w:val="20"/>
              </w:rPr>
            </w:pPr>
            <w:r w:rsidRPr="00C779C9">
              <w:rPr>
                <w:rFonts w:cstheme="minorHAnsi"/>
                <w:color w:val="000000"/>
                <w:sz w:val="20"/>
                <w:szCs w:val="20"/>
              </w:rPr>
              <w:t>25.19</w:t>
            </w:r>
          </w:p>
        </w:tc>
      </w:tr>
      <w:tr w:rsidR="000536D2" w:rsidRPr="00C779C9" w:rsidTr="000536D2">
        <w:trPr>
          <w:trHeight w:val="284"/>
        </w:trPr>
        <w:tc>
          <w:tcPr>
            <w:tcW w:w="487" w:type="pct"/>
            <w:vMerge w:val="restart"/>
            <w:tcMar>
              <w:top w:w="57" w:type="dxa"/>
              <w:left w:w="57" w:type="dxa"/>
              <w:bottom w:w="57" w:type="dxa"/>
              <w:right w:w="57" w:type="dxa"/>
            </w:tcMar>
            <w:vAlign w:val="center"/>
          </w:tcPr>
          <w:p w:rsidR="000536D2" w:rsidRPr="00C779C9" w:rsidRDefault="000536D2" w:rsidP="000536D2">
            <w:pPr>
              <w:spacing w:after="0" w:line="240" w:lineRule="auto"/>
              <w:rPr>
                <w:rFonts w:cstheme="minorHAnsi"/>
                <w:b/>
                <w:bCs/>
                <w:color w:val="000000"/>
                <w:sz w:val="20"/>
                <w:szCs w:val="20"/>
              </w:rPr>
            </w:pPr>
            <w:r w:rsidRPr="00C779C9">
              <w:rPr>
                <w:rFonts w:cstheme="minorHAnsi"/>
                <w:b/>
                <w:bCs/>
                <w:color w:val="000000"/>
                <w:sz w:val="20"/>
                <w:szCs w:val="20"/>
              </w:rPr>
              <w:t>Curry Moor</w:t>
            </w:r>
          </w:p>
        </w:tc>
        <w:tc>
          <w:tcPr>
            <w:tcW w:w="245" w:type="pct"/>
            <w:vMerge w:val="restart"/>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8</w:t>
            </w:r>
            <w:r>
              <w:rPr>
                <w:rFonts w:cstheme="minorHAnsi"/>
                <w:color w:val="000000"/>
                <w:sz w:val="20"/>
                <w:szCs w:val="20"/>
              </w:rPr>
              <w:t>.0</w:t>
            </w:r>
          </w:p>
        </w:tc>
        <w:tc>
          <w:tcPr>
            <w:tcW w:w="340" w:type="pct"/>
            <w:vMerge w:val="restart"/>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17408000</w:t>
            </w:r>
          </w:p>
        </w:tc>
        <w:tc>
          <w:tcPr>
            <w:tcW w:w="243" w:type="pct"/>
            <w:vMerge w:val="restart"/>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748</w:t>
            </w:r>
          </w:p>
        </w:tc>
        <w:tc>
          <w:tcPr>
            <w:tcW w:w="239"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5.75</w:t>
            </w:r>
          </w:p>
        </w:tc>
        <w:tc>
          <w:tcPr>
            <w:tcW w:w="302"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sz w:val="20"/>
                <w:szCs w:val="20"/>
              </w:rPr>
            </w:pPr>
            <w:r w:rsidRPr="00C779C9">
              <w:rPr>
                <w:rFonts w:cstheme="minorHAnsi"/>
                <w:sz w:val="20"/>
                <w:szCs w:val="20"/>
              </w:rPr>
              <w:t>2646000</w:t>
            </w:r>
          </w:p>
        </w:tc>
        <w:tc>
          <w:tcPr>
            <w:tcW w:w="232"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437</w:t>
            </w:r>
          </w:p>
        </w:tc>
        <w:tc>
          <w:tcPr>
            <w:tcW w:w="243"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5.33</w:t>
            </w:r>
          </w:p>
        </w:tc>
        <w:tc>
          <w:tcPr>
            <w:tcW w:w="291"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19188</w:t>
            </w:r>
          </w:p>
        </w:tc>
        <w:tc>
          <w:tcPr>
            <w:tcW w:w="634" w:type="pct"/>
            <w:tcMar>
              <w:top w:w="57" w:type="dxa"/>
              <w:left w:w="57" w:type="dxa"/>
              <w:bottom w:w="57" w:type="dxa"/>
              <w:right w:w="57" w:type="dxa"/>
            </w:tcMar>
            <w:vAlign w:val="center"/>
          </w:tcPr>
          <w:p w:rsidR="000536D2" w:rsidRPr="00C779C9" w:rsidRDefault="000536D2" w:rsidP="000536D2">
            <w:pPr>
              <w:spacing w:after="0" w:line="240" w:lineRule="auto"/>
              <w:rPr>
                <w:rFonts w:cstheme="minorHAnsi"/>
                <w:color w:val="000000"/>
                <w:sz w:val="20"/>
                <w:szCs w:val="20"/>
              </w:rPr>
            </w:pPr>
            <w:r w:rsidRPr="00C779C9">
              <w:rPr>
                <w:rFonts w:cstheme="minorHAnsi"/>
                <w:color w:val="000000"/>
                <w:sz w:val="20"/>
                <w:szCs w:val="20"/>
              </w:rPr>
              <w:t>RWLA volume</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2016</w:t>
            </w:r>
          </w:p>
        </w:tc>
        <w:tc>
          <w:tcPr>
            <w:tcW w:w="289"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0.01</w:t>
            </w:r>
          </w:p>
        </w:tc>
        <w:tc>
          <w:tcPr>
            <w:tcW w:w="291" w:type="pct"/>
            <w:shd w:val="clear" w:color="auto" w:fill="auto"/>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0.03</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0.08</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0.05</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0.11</w:t>
            </w:r>
          </w:p>
        </w:tc>
      </w:tr>
      <w:tr w:rsidR="000536D2" w:rsidRPr="00C779C9" w:rsidTr="000536D2">
        <w:trPr>
          <w:trHeight w:val="284"/>
        </w:trPr>
        <w:tc>
          <w:tcPr>
            <w:tcW w:w="487" w:type="pct"/>
            <w:vMerge/>
            <w:tcMar>
              <w:top w:w="57" w:type="dxa"/>
              <w:left w:w="57" w:type="dxa"/>
              <w:bottom w:w="57" w:type="dxa"/>
              <w:right w:w="57" w:type="dxa"/>
            </w:tcMar>
            <w:vAlign w:val="center"/>
          </w:tcPr>
          <w:p w:rsidR="000536D2" w:rsidRPr="00C779C9" w:rsidRDefault="000536D2" w:rsidP="000536D2">
            <w:pPr>
              <w:spacing w:after="0" w:line="240" w:lineRule="auto"/>
              <w:rPr>
                <w:rFonts w:eastAsia="Times New Roman" w:cstheme="minorHAnsi"/>
                <w:b/>
                <w:color w:val="000000"/>
                <w:sz w:val="20"/>
                <w:szCs w:val="20"/>
              </w:rPr>
            </w:pPr>
          </w:p>
        </w:tc>
        <w:tc>
          <w:tcPr>
            <w:tcW w:w="245" w:type="pct"/>
            <w:vMerge/>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eastAsia="Times New Roman" w:cstheme="minorHAnsi"/>
                <w:color w:val="000000"/>
                <w:sz w:val="20"/>
                <w:szCs w:val="20"/>
              </w:rPr>
            </w:pPr>
          </w:p>
        </w:tc>
        <w:tc>
          <w:tcPr>
            <w:tcW w:w="340" w:type="pct"/>
            <w:vMerge/>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eastAsia="Times New Roman" w:cstheme="minorHAnsi"/>
                <w:color w:val="000000"/>
                <w:sz w:val="20"/>
                <w:szCs w:val="20"/>
              </w:rPr>
            </w:pPr>
          </w:p>
        </w:tc>
        <w:tc>
          <w:tcPr>
            <w:tcW w:w="243" w:type="pct"/>
            <w:vMerge/>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eastAsia="Times New Roman" w:cstheme="minorHAnsi"/>
                <w:color w:val="000000"/>
                <w:sz w:val="20"/>
                <w:szCs w:val="20"/>
              </w:rPr>
            </w:pPr>
          </w:p>
        </w:tc>
        <w:tc>
          <w:tcPr>
            <w:tcW w:w="239"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302"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232"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243"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291"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634" w:type="pct"/>
            <w:tcMar>
              <w:top w:w="57" w:type="dxa"/>
              <w:left w:w="57" w:type="dxa"/>
              <w:bottom w:w="57" w:type="dxa"/>
              <w:right w:w="57" w:type="dxa"/>
            </w:tcMar>
            <w:vAlign w:val="center"/>
          </w:tcPr>
          <w:p w:rsidR="000536D2" w:rsidRPr="00C779C9" w:rsidRDefault="000536D2" w:rsidP="000536D2">
            <w:pPr>
              <w:spacing w:after="0" w:line="240" w:lineRule="auto"/>
              <w:rPr>
                <w:rFonts w:eastAsia="Times New Roman" w:cstheme="minorHAnsi"/>
                <w:color w:val="000000"/>
                <w:sz w:val="20"/>
                <w:szCs w:val="20"/>
              </w:rPr>
            </w:pPr>
            <w:r w:rsidRPr="00C779C9">
              <w:rPr>
                <w:rFonts w:cstheme="minorHAnsi"/>
                <w:color w:val="000000"/>
                <w:sz w:val="20"/>
                <w:szCs w:val="20"/>
              </w:rPr>
              <w:t>Summer pen volume</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r w:rsidRPr="00C779C9">
              <w:rPr>
                <w:rFonts w:cstheme="minorHAnsi"/>
                <w:color w:val="000000"/>
                <w:sz w:val="20"/>
                <w:szCs w:val="20"/>
              </w:rPr>
              <w:t>177288</w:t>
            </w:r>
          </w:p>
        </w:tc>
        <w:tc>
          <w:tcPr>
            <w:tcW w:w="289" w:type="pct"/>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r w:rsidRPr="00C779C9">
              <w:rPr>
                <w:rFonts w:cstheme="minorHAnsi"/>
                <w:color w:val="000000"/>
                <w:sz w:val="20"/>
                <w:szCs w:val="20"/>
              </w:rPr>
              <w:t>1.02</w:t>
            </w:r>
          </w:p>
        </w:tc>
        <w:tc>
          <w:tcPr>
            <w:tcW w:w="291" w:type="pct"/>
            <w:shd w:val="clear" w:color="auto" w:fill="auto"/>
            <w:tcMar>
              <w:top w:w="57" w:type="dxa"/>
              <w:left w:w="57" w:type="dxa"/>
              <w:bottom w:w="57" w:type="dxa"/>
              <w:right w:w="57" w:type="dxa"/>
            </w:tcMar>
            <w:vAlign w:val="center"/>
            <w:hideMark/>
          </w:tcPr>
          <w:p w:rsidR="000536D2" w:rsidRPr="00C779C9" w:rsidRDefault="000536D2" w:rsidP="000536D2">
            <w:pPr>
              <w:spacing w:after="0" w:line="240" w:lineRule="auto"/>
              <w:jc w:val="right"/>
              <w:rPr>
                <w:rFonts w:eastAsia="Times New Roman" w:cstheme="minorHAnsi"/>
                <w:color w:val="000000"/>
                <w:sz w:val="20"/>
                <w:szCs w:val="20"/>
              </w:rPr>
            </w:pPr>
            <w:r w:rsidRPr="00C779C9">
              <w:rPr>
                <w:rFonts w:cstheme="minorHAnsi"/>
                <w:color w:val="000000"/>
                <w:sz w:val="20"/>
                <w:szCs w:val="20"/>
              </w:rPr>
              <w:t>2.37</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r w:rsidRPr="00C779C9">
              <w:rPr>
                <w:rFonts w:cstheme="minorHAnsi"/>
                <w:color w:val="000000"/>
                <w:sz w:val="20"/>
                <w:szCs w:val="20"/>
              </w:rPr>
              <w:t>6.70</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sz w:val="20"/>
                <w:szCs w:val="20"/>
              </w:rPr>
            </w:pPr>
            <w:r w:rsidRPr="00C779C9">
              <w:rPr>
                <w:rFonts w:cstheme="minorHAnsi"/>
                <w:color w:val="000000"/>
                <w:sz w:val="20"/>
                <w:szCs w:val="20"/>
              </w:rPr>
              <w:t>4.06</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sz w:val="20"/>
                <w:szCs w:val="20"/>
              </w:rPr>
            </w:pPr>
            <w:r w:rsidRPr="00C779C9">
              <w:rPr>
                <w:rFonts w:cstheme="minorHAnsi"/>
                <w:color w:val="000000"/>
                <w:sz w:val="20"/>
                <w:szCs w:val="20"/>
              </w:rPr>
              <w:t>9.24</w:t>
            </w:r>
          </w:p>
        </w:tc>
      </w:tr>
      <w:tr w:rsidR="000536D2" w:rsidRPr="00C779C9" w:rsidTr="000536D2">
        <w:trPr>
          <w:trHeight w:val="284"/>
        </w:trPr>
        <w:tc>
          <w:tcPr>
            <w:tcW w:w="487" w:type="pct"/>
            <w:vMerge w:val="restart"/>
            <w:tcMar>
              <w:top w:w="57" w:type="dxa"/>
              <w:left w:w="57" w:type="dxa"/>
              <w:bottom w:w="57" w:type="dxa"/>
              <w:right w:w="57" w:type="dxa"/>
            </w:tcMar>
            <w:vAlign w:val="center"/>
          </w:tcPr>
          <w:p w:rsidR="000536D2" w:rsidRPr="00C779C9" w:rsidRDefault="000536D2" w:rsidP="000536D2">
            <w:pPr>
              <w:spacing w:after="0" w:line="240" w:lineRule="auto"/>
              <w:rPr>
                <w:rFonts w:cstheme="minorHAnsi"/>
                <w:b/>
                <w:bCs/>
                <w:color w:val="000000"/>
                <w:sz w:val="20"/>
                <w:szCs w:val="20"/>
              </w:rPr>
            </w:pPr>
            <w:r w:rsidRPr="00C779C9">
              <w:rPr>
                <w:rFonts w:cstheme="minorHAnsi"/>
                <w:b/>
                <w:bCs/>
                <w:color w:val="000000"/>
                <w:sz w:val="20"/>
                <w:szCs w:val="20"/>
              </w:rPr>
              <w:t>North Moor and Saltmoor</w:t>
            </w:r>
          </w:p>
        </w:tc>
        <w:tc>
          <w:tcPr>
            <w:tcW w:w="245" w:type="pct"/>
            <w:vMerge w:val="restart"/>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6.19</w:t>
            </w:r>
          </w:p>
        </w:tc>
        <w:tc>
          <w:tcPr>
            <w:tcW w:w="340" w:type="pct"/>
            <w:vMerge w:val="restart"/>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27014000</w:t>
            </w:r>
          </w:p>
        </w:tc>
        <w:tc>
          <w:tcPr>
            <w:tcW w:w="243" w:type="pct"/>
            <w:vMerge w:val="restart"/>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1446</w:t>
            </w:r>
          </w:p>
        </w:tc>
        <w:tc>
          <w:tcPr>
            <w:tcW w:w="239"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4.1</w:t>
            </w:r>
          </w:p>
        </w:tc>
        <w:tc>
          <w:tcPr>
            <w:tcW w:w="302"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sz w:val="20"/>
                <w:szCs w:val="20"/>
              </w:rPr>
            </w:pPr>
            <w:r w:rsidRPr="00C779C9">
              <w:rPr>
                <w:rFonts w:cstheme="minorHAnsi"/>
                <w:sz w:val="20"/>
                <w:szCs w:val="20"/>
              </w:rPr>
              <w:t>3288000</w:t>
            </w:r>
          </w:p>
        </w:tc>
        <w:tc>
          <w:tcPr>
            <w:tcW w:w="232"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sz w:val="20"/>
                <w:szCs w:val="20"/>
              </w:rPr>
            </w:pPr>
            <w:r w:rsidRPr="00C779C9">
              <w:rPr>
                <w:rFonts w:cstheme="minorHAnsi"/>
                <w:sz w:val="20"/>
                <w:szCs w:val="20"/>
              </w:rPr>
              <w:t>862</w:t>
            </w:r>
          </w:p>
        </w:tc>
        <w:tc>
          <w:tcPr>
            <w:tcW w:w="243"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5.35</w:t>
            </w:r>
          </w:p>
        </w:tc>
        <w:tc>
          <w:tcPr>
            <w:tcW w:w="291"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19260</w:t>
            </w:r>
          </w:p>
        </w:tc>
        <w:tc>
          <w:tcPr>
            <w:tcW w:w="634" w:type="pct"/>
            <w:tcMar>
              <w:top w:w="57" w:type="dxa"/>
              <w:left w:w="57" w:type="dxa"/>
              <w:bottom w:w="57" w:type="dxa"/>
              <w:right w:w="57" w:type="dxa"/>
            </w:tcMar>
            <w:vAlign w:val="center"/>
          </w:tcPr>
          <w:p w:rsidR="000536D2" w:rsidRPr="00C779C9" w:rsidRDefault="000536D2" w:rsidP="000536D2">
            <w:pPr>
              <w:spacing w:after="0" w:line="240" w:lineRule="auto"/>
              <w:rPr>
                <w:rFonts w:cstheme="minorHAnsi"/>
                <w:color w:val="000000"/>
                <w:sz w:val="20"/>
                <w:szCs w:val="20"/>
              </w:rPr>
            </w:pPr>
            <w:r w:rsidRPr="00C779C9">
              <w:rPr>
                <w:rFonts w:cstheme="minorHAnsi"/>
                <w:color w:val="000000"/>
                <w:sz w:val="20"/>
                <w:szCs w:val="20"/>
              </w:rPr>
              <w:t>RWLA volume</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50772</w:t>
            </w:r>
          </w:p>
        </w:tc>
        <w:tc>
          <w:tcPr>
            <w:tcW w:w="289"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0.19</w:t>
            </w:r>
          </w:p>
        </w:tc>
        <w:tc>
          <w:tcPr>
            <w:tcW w:w="291" w:type="pct"/>
            <w:shd w:val="clear" w:color="auto" w:fill="auto"/>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0.35</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1.54</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0.59</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2.64</w:t>
            </w:r>
          </w:p>
        </w:tc>
      </w:tr>
      <w:tr w:rsidR="000536D2" w:rsidRPr="00C779C9" w:rsidTr="000536D2">
        <w:trPr>
          <w:trHeight w:val="284"/>
        </w:trPr>
        <w:tc>
          <w:tcPr>
            <w:tcW w:w="487" w:type="pct"/>
            <w:vMerge/>
            <w:tcMar>
              <w:top w:w="57" w:type="dxa"/>
              <w:left w:w="57" w:type="dxa"/>
              <w:bottom w:w="57" w:type="dxa"/>
              <w:right w:w="57" w:type="dxa"/>
            </w:tcMar>
            <w:vAlign w:val="center"/>
          </w:tcPr>
          <w:p w:rsidR="000536D2" w:rsidRPr="00C779C9" w:rsidRDefault="000536D2" w:rsidP="000536D2">
            <w:pPr>
              <w:spacing w:after="0" w:line="240" w:lineRule="auto"/>
              <w:rPr>
                <w:rFonts w:eastAsia="Times New Roman" w:cstheme="minorHAnsi"/>
                <w:b/>
                <w:color w:val="000000"/>
                <w:sz w:val="20"/>
                <w:szCs w:val="20"/>
              </w:rPr>
            </w:pPr>
          </w:p>
        </w:tc>
        <w:tc>
          <w:tcPr>
            <w:tcW w:w="245" w:type="pct"/>
            <w:vMerge/>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eastAsia="Times New Roman" w:cstheme="minorHAnsi"/>
                <w:color w:val="000000"/>
                <w:sz w:val="20"/>
                <w:szCs w:val="20"/>
              </w:rPr>
            </w:pPr>
          </w:p>
        </w:tc>
        <w:tc>
          <w:tcPr>
            <w:tcW w:w="340" w:type="pct"/>
            <w:vMerge/>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eastAsia="Times New Roman" w:cstheme="minorHAnsi"/>
                <w:color w:val="000000"/>
                <w:sz w:val="20"/>
                <w:szCs w:val="20"/>
              </w:rPr>
            </w:pPr>
          </w:p>
        </w:tc>
        <w:tc>
          <w:tcPr>
            <w:tcW w:w="243" w:type="pct"/>
            <w:vMerge/>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eastAsia="Times New Roman" w:cstheme="minorHAnsi"/>
                <w:color w:val="000000"/>
                <w:sz w:val="20"/>
                <w:szCs w:val="20"/>
              </w:rPr>
            </w:pPr>
          </w:p>
        </w:tc>
        <w:tc>
          <w:tcPr>
            <w:tcW w:w="239"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302"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232"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243"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291"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634" w:type="pct"/>
            <w:tcMar>
              <w:top w:w="57" w:type="dxa"/>
              <w:left w:w="57" w:type="dxa"/>
              <w:bottom w:w="57" w:type="dxa"/>
              <w:right w:w="57" w:type="dxa"/>
            </w:tcMar>
            <w:vAlign w:val="center"/>
          </w:tcPr>
          <w:p w:rsidR="000536D2" w:rsidRPr="00C779C9" w:rsidRDefault="000536D2" w:rsidP="000536D2">
            <w:pPr>
              <w:spacing w:after="0" w:line="240" w:lineRule="auto"/>
              <w:rPr>
                <w:rFonts w:eastAsia="Times New Roman" w:cstheme="minorHAnsi"/>
                <w:color w:val="000000"/>
                <w:sz w:val="20"/>
                <w:szCs w:val="20"/>
              </w:rPr>
            </w:pPr>
            <w:r w:rsidRPr="00C779C9">
              <w:rPr>
                <w:rFonts w:cstheme="minorHAnsi"/>
                <w:color w:val="000000"/>
                <w:sz w:val="20"/>
                <w:szCs w:val="20"/>
              </w:rPr>
              <w:t>Summer pen volume</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r w:rsidRPr="00C779C9">
              <w:rPr>
                <w:rFonts w:cstheme="minorHAnsi"/>
                <w:color w:val="000000"/>
                <w:sz w:val="20"/>
                <w:szCs w:val="20"/>
              </w:rPr>
              <w:t>351387</w:t>
            </w:r>
          </w:p>
        </w:tc>
        <w:tc>
          <w:tcPr>
            <w:tcW w:w="289" w:type="pct"/>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r w:rsidRPr="00C779C9">
              <w:rPr>
                <w:rFonts w:cstheme="minorHAnsi"/>
                <w:color w:val="000000"/>
                <w:sz w:val="20"/>
                <w:szCs w:val="20"/>
              </w:rPr>
              <w:t>1.30</w:t>
            </w:r>
          </w:p>
        </w:tc>
        <w:tc>
          <w:tcPr>
            <w:tcW w:w="291" w:type="pct"/>
            <w:shd w:val="clear" w:color="auto" w:fill="auto"/>
            <w:tcMar>
              <w:top w:w="57" w:type="dxa"/>
              <w:left w:w="57" w:type="dxa"/>
              <w:bottom w:w="57" w:type="dxa"/>
              <w:right w:w="57" w:type="dxa"/>
            </w:tcMar>
            <w:vAlign w:val="center"/>
            <w:hideMark/>
          </w:tcPr>
          <w:p w:rsidR="000536D2" w:rsidRPr="00C779C9" w:rsidRDefault="000536D2" w:rsidP="000536D2">
            <w:pPr>
              <w:spacing w:after="0" w:line="240" w:lineRule="auto"/>
              <w:jc w:val="right"/>
              <w:rPr>
                <w:rFonts w:eastAsia="Times New Roman" w:cstheme="minorHAnsi"/>
                <w:color w:val="000000"/>
                <w:sz w:val="20"/>
                <w:szCs w:val="20"/>
              </w:rPr>
            </w:pPr>
            <w:r w:rsidRPr="00C779C9">
              <w:rPr>
                <w:rFonts w:cstheme="minorHAnsi"/>
                <w:color w:val="000000"/>
                <w:sz w:val="20"/>
                <w:szCs w:val="20"/>
              </w:rPr>
              <w:t>2.43</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r w:rsidRPr="00C779C9">
              <w:rPr>
                <w:rFonts w:cstheme="minorHAnsi"/>
                <w:color w:val="000000"/>
                <w:sz w:val="20"/>
                <w:szCs w:val="20"/>
              </w:rPr>
              <w:t>10.69</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sz w:val="20"/>
                <w:szCs w:val="20"/>
              </w:rPr>
            </w:pPr>
            <w:r w:rsidRPr="00C779C9">
              <w:rPr>
                <w:rFonts w:cstheme="minorHAnsi"/>
                <w:color w:val="000000"/>
                <w:sz w:val="20"/>
                <w:szCs w:val="20"/>
              </w:rPr>
              <w:t>4.08</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sz w:val="20"/>
                <w:szCs w:val="20"/>
              </w:rPr>
            </w:pPr>
            <w:r w:rsidRPr="00C779C9">
              <w:rPr>
                <w:rFonts w:cstheme="minorHAnsi"/>
                <w:color w:val="000000"/>
                <w:sz w:val="20"/>
                <w:szCs w:val="20"/>
              </w:rPr>
              <w:t>18.24</w:t>
            </w:r>
          </w:p>
        </w:tc>
      </w:tr>
      <w:tr w:rsidR="000536D2" w:rsidRPr="00C779C9" w:rsidTr="000536D2">
        <w:trPr>
          <w:trHeight w:val="284"/>
        </w:trPr>
        <w:tc>
          <w:tcPr>
            <w:tcW w:w="487" w:type="pct"/>
            <w:vMerge w:val="restart"/>
            <w:tcMar>
              <w:top w:w="57" w:type="dxa"/>
              <w:left w:w="57" w:type="dxa"/>
              <w:bottom w:w="57" w:type="dxa"/>
              <w:right w:w="57" w:type="dxa"/>
            </w:tcMar>
            <w:vAlign w:val="center"/>
          </w:tcPr>
          <w:p w:rsidR="000536D2" w:rsidRPr="00C779C9" w:rsidRDefault="000536D2" w:rsidP="000536D2">
            <w:pPr>
              <w:spacing w:after="0" w:line="240" w:lineRule="auto"/>
              <w:rPr>
                <w:rFonts w:cstheme="minorHAnsi"/>
                <w:b/>
                <w:bCs/>
                <w:color w:val="000000"/>
                <w:sz w:val="20"/>
                <w:szCs w:val="20"/>
              </w:rPr>
            </w:pPr>
            <w:r w:rsidRPr="00C779C9">
              <w:rPr>
                <w:rFonts w:cstheme="minorHAnsi"/>
                <w:b/>
                <w:bCs/>
                <w:color w:val="000000"/>
                <w:sz w:val="20"/>
                <w:szCs w:val="20"/>
              </w:rPr>
              <w:t>West Moor</w:t>
            </w:r>
          </w:p>
        </w:tc>
        <w:tc>
          <w:tcPr>
            <w:tcW w:w="245" w:type="pct"/>
            <w:vMerge w:val="restart"/>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9.04 </w:t>
            </w:r>
          </w:p>
        </w:tc>
        <w:tc>
          <w:tcPr>
            <w:tcW w:w="340" w:type="pct"/>
            <w:vMerge w:val="restart"/>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10152000</w:t>
            </w:r>
          </w:p>
        </w:tc>
        <w:tc>
          <w:tcPr>
            <w:tcW w:w="243" w:type="pct"/>
            <w:vMerge w:val="restart"/>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525</w:t>
            </w:r>
          </w:p>
        </w:tc>
        <w:tc>
          <w:tcPr>
            <w:tcW w:w="239"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Pr>
                <w:rFonts w:cstheme="minorHAnsi"/>
                <w:color w:val="000000"/>
                <w:sz w:val="20"/>
                <w:szCs w:val="20"/>
              </w:rPr>
              <w:t>7.5</w:t>
            </w:r>
          </w:p>
        </w:tc>
        <w:tc>
          <w:tcPr>
            <w:tcW w:w="302" w:type="pct"/>
            <w:vMerge w:val="restart"/>
            <w:tcMar>
              <w:top w:w="57" w:type="dxa"/>
              <w:left w:w="57" w:type="dxa"/>
              <w:bottom w:w="57" w:type="dxa"/>
              <w:right w:w="57" w:type="dxa"/>
            </w:tcMar>
            <w:vAlign w:val="center"/>
          </w:tcPr>
          <w:p w:rsidR="000536D2" w:rsidRDefault="000536D2" w:rsidP="000536D2">
            <w:pPr>
              <w:spacing w:after="0" w:line="240" w:lineRule="auto"/>
              <w:jc w:val="right"/>
              <w:rPr>
                <w:rFonts w:ascii="Calibri" w:hAnsi="Calibri" w:cs="Calibri"/>
                <w:color w:val="000000"/>
                <w:sz w:val="20"/>
                <w:szCs w:val="20"/>
              </w:rPr>
            </w:pPr>
            <w:r>
              <w:rPr>
                <w:rFonts w:ascii="Calibri" w:hAnsi="Calibri" w:cs="Calibri"/>
                <w:color w:val="000000"/>
                <w:sz w:val="20"/>
                <w:szCs w:val="20"/>
              </w:rPr>
              <w:t>2799000</w:t>
            </w:r>
          </w:p>
          <w:p w:rsidR="000536D2" w:rsidRDefault="000536D2" w:rsidP="000536D2">
            <w:pPr>
              <w:spacing w:after="0" w:line="240" w:lineRule="auto"/>
              <w:jc w:val="right"/>
              <w:rPr>
                <w:rFonts w:ascii="Calibri" w:hAnsi="Calibri" w:cs="Calibri"/>
                <w:color w:val="000000"/>
                <w:sz w:val="20"/>
                <w:szCs w:val="20"/>
              </w:rPr>
            </w:pPr>
            <w:r>
              <w:rPr>
                <w:rFonts w:ascii="Calibri" w:hAnsi="Calibri" w:cs="Calibri"/>
                <w:color w:val="000000"/>
                <w:sz w:val="20"/>
                <w:szCs w:val="20"/>
              </w:rPr>
              <w:t> </w:t>
            </w:r>
          </w:p>
        </w:tc>
        <w:tc>
          <w:tcPr>
            <w:tcW w:w="232" w:type="pct"/>
            <w:vMerge w:val="restart"/>
            <w:tcMar>
              <w:top w:w="57" w:type="dxa"/>
              <w:left w:w="57" w:type="dxa"/>
              <w:bottom w:w="57" w:type="dxa"/>
              <w:right w:w="57" w:type="dxa"/>
            </w:tcMar>
            <w:vAlign w:val="center"/>
          </w:tcPr>
          <w:p w:rsidR="000536D2" w:rsidRDefault="000536D2" w:rsidP="000536D2">
            <w:pPr>
              <w:spacing w:after="0" w:line="240" w:lineRule="auto"/>
              <w:jc w:val="right"/>
              <w:rPr>
                <w:rFonts w:ascii="Calibri" w:hAnsi="Calibri" w:cs="Calibri"/>
                <w:color w:val="000000"/>
                <w:sz w:val="20"/>
                <w:szCs w:val="20"/>
              </w:rPr>
            </w:pPr>
            <w:r>
              <w:rPr>
                <w:rFonts w:ascii="Calibri" w:hAnsi="Calibri" w:cs="Calibri"/>
                <w:color w:val="000000"/>
                <w:sz w:val="20"/>
                <w:szCs w:val="20"/>
              </w:rPr>
              <w:t>396</w:t>
            </w:r>
          </w:p>
          <w:p w:rsidR="000536D2" w:rsidRDefault="000536D2" w:rsidP="000536D2">
            <w:pPr>
              <w:spacing w:after="0" w:line="240" w:lineRule="auto"/>
              <w:jc w:val="right"/>
              <w:rPr>
                <w:rFonts w:ascii="Calibri" w:hAnsi="Calibri" w:cs="Calibri"/>
                <w:color w:val="000000"/>
                <w:sz w:val="20"/>
                <w:szCs w:val="20"/>
              </w:rPr>
            </w:pPr>
            <w:r>
              <w:rPr>
                <w:rFonts w:ascii="Calibri" w:hAnsi="Calibri" w:cs="Calibri"/>
                <w:color w:val="000000"/>
                <w:sz w:val="20"/>
                <w:szCs w:val="20"/>
              </w:rPr>
              <w:t> </w:t>
            </w:r>
          </w:p>
        </w:tc>
        <w:tc>
          <w:tcPr>
            <w:tcW w:w="243"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4.26</w:t>
            </w:r>
          </w:p>
        </w:tc>
        <w:tc>
          <w:tcPr>
            <w:tcW w:w="291"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15336</w:t>
            </w:r>
          </w:p>
        </w:tc>
        <w:tc>
          <w:tcPr>
            <w:tcW w:w="634" w:type="pct"/>
            <w:tcMar>
              <w:top w:w="57" w:type="dxa"/>
              <w:left w:w="57" w:type="dxa"/>
              <w:bottom w:w="57" w:type="dxa"/>
              <w:right w:w="57" w:type="dxa"/>
            </w:tcMar>
            <w:vAlign w:val="center"/>
          </w:tcPr>
          <w:p w:rsidR="000536D2" w:rsidRPr="00C779C9" w:rsidRDefault="000536D2" w:rsidP="000536D2">
            <w:pPr>
              <w:spacing w:after="0" w:line="240" w:lineRule="auto"/>
              <w:rPr>
                <w:rFonts w:cstheme="minorHAnsi"/>
                <w:color w:val="000000"/>
                <w:sz w:val="20"/>
                <w:szCs w:val="20"/>
              </w:rPr>
            </w:pPr>
            <w:r w:rsidRPr="00C779C9">
              <w:rPr>
                <w:rFonts w:cstheme="minorHAnsi"/>
                <w:color w:val="000000"/>
                <w:sz w:val="20"/>
                <w:szCs w:val="20"/>
              </w:rPr>
              <w:t>RWLA volume</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35556</w:t>
            </w:r>
          </w:p>
        </w:tc>
        <w:tc>
          <w:tcPr>
            <w:tcW w:w="289"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0.35</w:t>
            </w:r>
          </w:p>
        </w:tc>
        <w:tc>
          <w:tcPr>
            <w:tcW w:w="291" w:type="pct"/>
            <w:shd w:val="clear" w:color="auto" w:fill="auto"/>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0.68</w:t>
            </w:r>
          </w:p>
        </w:tc>
        <w:tc>
          <w:tcPr>
            <w:tcW w:w="291" w:type="pct"/>
            <w:tcMar>
              <w:top w:w="57" w:type="dxa"/>
              <w:left w:w="57" w:type="dxa"/>
              <w:bottom w:w="57" w:type="dxa"/>
              <w:right w:w="57" w:type="dxa"/>
            </w:tcMar>
            <w:vAlign w:val="center"/>
          </w:tcPr>
          <w:p w:rsidR="000536D2" w:rsidRDefault="000536D2" w:rsidP="000536D2">
            <w:pPr>
              <w:spacing w:after="0" w:line="240" w:lineRule="auto"/>
              <w:jc w:val="right"/>
              <w:rPr>
                <w:rFonts w:ascii="Calibri" w:hAnsi="Calibri" w:cs="Calibri"/>
                <w:color w:val="000000"/>
                <w:sz w:val="20"/>
                <w:szCs w:val="20"/>
              </w:rPr>
            </w:pPr>
            <w:r>
              <w:rPr>
                <w:rFonts w:ascii="Calibri" w:hAnsi="Calibri" w:cs="Calibri"/>
                <w:color w:val="000000"/>
                <w:sz w:val="20"/>
                <w:szCs w:val="20"/>
              </w:rPr>
              <w:t>1.27</w:t>
            </w:r>
          </w:p>
        </w:tc>
        <w:tc>
          <w:tcPr>
            <w:tcW w:w="291" w:type="pct"/>
            <w:tcMar>
              <w:top w:w="57" w:type="dxa"/>
              <w:left w:w="57" w:type="dxa"/>
              <w:bottom w:w="57" w:type="dxa"/>
              <w:right w:w="57" w:type="dxa"/>
            </w:tcMar>
            <w:vAlign w:val="center"/>
          </w:tcPr>
          <w:p w:rsidR="000536D2" w:rsidRDefault="000536D2" w:rsidP="000536D2">
            <w:pPr>
              <w:spacing w:after="0" w:line="240" w:lineRule="auto"/>
              <w:jc w:val="right"/>
              <w:rPr>
                <w:rFonts w:ascii="Calibri" w:hAnsi="Calibri" w:cs="Calibri"/>
                <w:color w:val="000000"/>
                <w:sz w:val="20"/>
                <w:szCs w:val="20"/>
              </w:rPr>
            </w:pPr>
            <w:r>
              <w:rPr>
                <w:rFonts w:ascii="Calibri" w:hAnsi="Calibri" w:cs="Calibri"/>
                <w:color w:val="000000"/>
                <w:sz w:val="20"/>
                <w:szCs w:val="20"/>
              </w:rPr>
              <w:t>0.90</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2.32</w:t>
            </w:r>
          </w:p>
        </w:tc>
      </w:tr>
      <w:tr w:rsidR="000536D2" w:rsidRPr="00C779C9" w:rsidTr="000536D2">
        <w:trPr>
          <w:trHeight w:val="284"/>
        </w:trPr>
        <w:tc>
          <w:tcPr>
            <w:tcW w:w="487" w:type="pct"/>
            <w:vMerge/>
            <w:tcMar>
              <w:top w:w="57" w:type="dxa"/>
              <w:left w:w="57" w:type="dxa"/>
              <w:bottom w:w="57" w:type="dxa"/>
              <w:right w:w="57" w:type="dxa"/>
            </w:tcMar>
            <w:vAlign w:val="center"/>
          </w:tcPr>
          <w:p w:rsidR="000536D2" w:rsidRPr="00C779C9" w:rsidRDefault="000536D2" w:rsidP="000536D2">
            <w:pPr>
              <w:spacing w:after="0" w:line="240" w:lineRule="auto"/>
              <w:rPr>
                <w:rFonts w:eastAsia="Times New Roman" w:cstheme="minorHAnsi"/>
                <w:b/>
                <w:color w:val="000000"/>
                <w:sz w:val="20"/>
                <w:szCs w:val="20"/>
              </w:rPr>
            </w:pPr>
          </w:p>
        </w:tc>
        <w:tc>
          <w:tcPr>
            <w:tcW w:w="245" w:type="pct"/>
            <w:vMerge/>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eastAsia="Times New Roman" w:cstheme="minorHAnsi"/>
                <w:color w:val="000000"/>
                <w:sz w:val="20"/>
                <w:szCs w:val="20"/>
              </w:rPr>
            </w:pPr>
          </w:p>
        </w:tc>
        <w:tc>
          <w:tcPr>
            <w:tcW w:w="340" w:type="pct"/>
            <w:vMerge/>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eastAsia="Times New Roman" w:cstheme="minorHAnsi"/>
                <w:color w:val="000000"/>
                <w:sz w:val="20"/>
                <w:szCs w:val="20"/>
              </w:rPr>
            </w:pPr>
          </w:p>
        </w:tc>
        <w:tc>
          <w:tcPr>
            <w:tcW w:w="243" w:type="pct"/>
            <w:vMerge/>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eastAsia="Times New Roman" w:cstheme="minorHAnsi"/>
                <w:color w:val="000000"/>
                <w:sz w:val="20"/>
                <w:szCs w:val="20"/>
              </w:rPr>
            </w:pPr>
          </w:p>
        </w:tc>
        <w:tc>
          <w:tcPr>
            <w:tcW w:w="239"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302"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232"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243"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291"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634" w:type="pct"/>
            <w:tcMar>
              <w:top w:w="57" w:type="dxa"/>
              <w:left w:w="57" w:type="dxa"/>
              <w:bottom w:w="57" w:type="dxa"/>
              <w:right w:w="57" w:type="dxa"/>
            </w:tcMar>
            <w:vAlign w:val="center"/>
          </w:tcPr>
          <w:p w:rsidR="000536D2" w:rsidRPr="00C779C9" w:rsidRDefault="000536D2" w:rsidP="000536D2">
            <w:pPr>
              <w:spacing w:after="0" w:line="240" w:lineRule="auto"/>
              <w:rPr>
                <w:rFonts w:eastAsia="Times New Roman" w:cstheme="minorHAnsi"/>
                <w:color w:val="000000"/>
                <w:sz w:val="20"/>
                <w:szCs w:val="20"/>
              </w:rPr>
            </w:pPr>
            <w:r w:rsidRPr="00C779C9">
              <w:rPr>
                <w:rFonts w:cstheme="minorHAnsi"/>
                <w:color w:val="000000"/>
                <w:sz w:val="20"/>
                <w:szCs w:val="20"/>
              </w:rPr>
              <w:t>Summer pen volume</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r w:rsidRPr="00C779C9">
              <w:rPr>
                <w:rFonts w:cstheme="minorHAnsi"/>
                <w:color w:val="000000"/>
                <w:sz w:val="20"/>
                <w:szCs w:val="20"/>
              </w:rPr>
              <w:t>108399</w:t>
            </w:r>
          </w:p>
        </w:tc>
        <w:tc>
          <w:tcPr>
            <w:tcW w:w="289" w:type="pct"/>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r w:rsidRPr="00C779C9">
              <w:rPr>
                <w:rFonts w:cstheme="minorHAnsi"/>
                <w:color w:val="000000"/>
                <w:sz w:val="20"/>
                <w:szCs w:val="20"/>
              </w:rPr>
              <w:t>1.07</w:t>
            </w:r>
          </w:p>
        </w:tc>
        <w:tc>
          <w:tcPr>
            <w:tcW w:w="291" w:type="pct"/>
            <w:shd w:val="clear" w:color="auto" w:fill="auto"/>
            <w:tcMar>
              <w:top w:w="57" w:type="dxa"/>
              <w:left w:w="57" w:type="dxa"/>
              <w:bottom w:w="57" w:type="dxa"/>
              <w:right w:w="57" w:type="dxa"/>
            </w:tcMar>
            <w:vAlign w:val="center"/>
            <w:hideMark/>
          </w:tcPr>
          <w:p w:rsidR="000536D2" w:rsidRPr="00C779C9" w:rsidRDefault="000536D2" w:rsidP="000536D2">
            <w:pPr>
              <w:spacing w:after="0" w:line="240" w:lineRule="auto"/>
              <w:jc w:val="right"/>
              <w:rPr>
                <w:rFonts w:eastAsia="Times New Roman" w:cstheme="minorHAnsi"/>
                <w:color w:val="000000"/>
                <w:sz w:val="20"/>
                <w:szCs w:val="20"/>
              </w:rPr>
            </w:pPr>
            <w:r w:rsidRPr="00C779C9">
              <w:rPr>
                <w:rFonts w:cstheme="minorHAnsi"/>
                <w:color w:val="000000"/>
                <w:sz w:val="20"/>
                <w:szCs w:val="20"/>
              </w:rPr>
              <w:t>2.06</w:t>
            </w:r>
          </w:p>
        </w:tc>
        <w:tc>
          <w:tcPr>
            <w:tcW w:w="291" w:type="pct"/>
            <w:tcMar>
              <w:top w:w="57" w:type="dxa"/>
              <w:left w:w="57" w:type="dxa"/>
              <w:bottom w:w="57" w:type="dxa"/>
              <w:right w:w="57" w:type="dxa"/>
            </w:tcMar>
            <w:vAlign w:val="center"/>
          </w:tcPr>
          <w:p w:rsidR="000536D2" w:rsidRDefault="000536D2" w:rsidP="000536D2">
            <w:pPr>
              <w:spacing w:after="0" w:line="240" w:lineRule="auto"/>
              <w:jc w:val="right"/>
              <w:rPr>
                <w:rFonts w:ascii="Calibri" w:hAnsi="Calibri" w:cs="Calibri"/>
                <w:color w:val="000000"/>
                <w:sz w:val="20"/>
                <w:szCs w:val="20"/>
              </w:rPr>
            </w:pPr>
            <w:r>
              <w:rPr>
                <w:rFonts w:ascii="Calibri" w:hAnsi="Calibri" w:cs="Calibri"/>
                <w:color w:val="000000"/>
                <w:sz w:val="20"/>
                <w:szCs w:val="20"/>
              </w:rPr>
              <w:t>3.87</w:t>
            </w:r>
          </w:p>
        </w:tc>
        <w:tc>
          <w:tcPr>
            <w:tcW w:w="291" w:type="pct"/>
            <w:tcMar>
              <w:top w:w="57" w:type="dxa"/>
              <w:left w:w="57" w:type="dxa"/>
              <w:bottom w:w="57" w:type="dxa"/>
              <w:right w:w="57" w:type="dxa"/>
            </w:tcMar>
            <w:vAlign w:val="center"/>
          </w:tcPr>
          <w:p w:rsidR="000536D2" w:rsidRDefault="000536D2" w:rsidP="000536D2">
            <w:pPr>
              <w:spacing w:after="0" w:line="240" w:lineRule="auto"/>
              <w:jc w:val="right"/>
              <w:rPr>
                <w:rFonts w:ascii="Calibri" w:hAnsi="Calibri" w:cs="Calibri"/>
                <w:color w:val="000000"/>
                <w:sz w:val="20"/>
                <w:szCs w:val="20"/>
              </w:rPr>
            </w:pPr>
            <w:r>
              <w:rPr>
                <w:rFonts w:ascii="Calibri" w:hAnsi="Calibri" w:cs="Calibri"/>
                <w:color w:val="000000"/>
                <w:sz w:val="20"/>
                <w:szCs w:val="20"/>
              </w:rPr>
              <w:t>2.74</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sz w:val="20"/>
                <w:szCs w:val="20"/>
              </w:rPr>
            </w:pPr>
            <w:r w:rsidRPr="00C779C9">
              <w:rPr>
                <w:rFonts w:cstheme="minorHAnsi"/>
                <w:color w:val="000000"/>
                <w:sz w:val="20"/>
                <w:szCs w:val="20"/>
              </w:rPr>
              <w:t>7.07</w:t>
            </w:r>
          </w:p>
        </w:tc>
      </w:tr>
      <w:tr w:rsidR="000536D2" w:rsidRPr="00C779C9" w:rsidTr="000536D2">
        <w:trPr>
          <w:trHeight w:val="284"/>
        </w:trPr>
        <w:tc>
          <w:tcPr>
            <w:tcW w:w="487" w:type="pct"/>
            <w:vMerge w:val="restart"/>
            <w:tcMar>
              <w:top w:w="57" w:type="dxa"/>
              <w:left w:w="57" w:type="dxa"/>
              <w:bottom w:w="57" w:type="dxa"/>
              <w:right w:w="57" w:type="dxa"/>
            </w:tcMar>
            <w:vAlign w:val="center"/>
          </w:tcPr>
          <w:p w:rsidR="000536D2" w:rsidRPr="00C779C9" w:rsidRDefault="000536D2" w:rsidP="000536D2">
            <w:pPr>
              <w:spacing w:after="0" w:line="240" w:lineRule="auto"/>
              <w:rPr>
                <w:rFonts w:cstheme="minorHAnsi"/>
                <w:b/>
                <w:bCs/>
                <w:color w:val="000000"/>
                <w:sz w:val="20"/>
                <w:szCs w:val="20"/>
              </w:rPr>
            </w:pPr>
            <w:r w:rsidRPr="00C779C9">
              <w:rPr>
                <w:rFonts w:cstheme="minorHAnsi"/>
                <w:b/>
                <w:bCs/>
                <w:color w:val="000000"/>
                <w:sz w:val="20"/>
                <w:szCs w:val="20"/>
              </w:rPr>
              <w:t>West Sedgemoor</w:t>
            </w:r>
          </w:p>
        </w:tc>
        <w:tc>
          <w:tcPr>
            <w:tcW w:w="245" w:type="pct"/>
            <w:vMerge w:val="restart"/>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6.44 </w:t>
            </w:r>
          </w:p>
        </w:tc>
        <w:tc>
          <w:tcPr>
            <w:tcW w:w="340" w:type="pct"/>
            <w:vMerge w:val="restart"/>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15871000</w:t>
            </w:r>
          </w:p>
        </w:tc>
        <w:tc>
          <w:tcPr>
            <w:tcW w:w="243" w:type="pct"/>
            <w:vMerge w:val="restart"/>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1283</w:t>
            </w:r>
          </w:p>
        </w:tc>
        <w:tc>
          <w:tcPr>
            <w:tcW w:w="239"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Pr>
                <w:rFonts w:cstheme="minorHAnsi"/>
                <w:color w:val="000000"/>
                <w:sz w:val="20"/>
                <w:szCs w:val="20"/>
              </w:rPr>
              <w:t>5.33</w:t>
            </w:r>
          </w:p>
        </w:tc>
        <w:tc>
          <w:tcPr>
            <w:tcW w:w="302" w:type="pct"/>
            <w:vMerge w:val="restart"/>
            <w:tcMar>
              <w:top w:w="57" w:type="dxa"/>
              <w:left w:w="57" w:type="dxa"/>
              <w:bottom w:w="57" w:type="dxa"/>
              <w:right w:w="57" w:type="dxa"/>
            </w:tcMar>
            <w:vAlign w:val="center"/>
          </w:tcPr>
          <w:p w:rsidR="000536D2" w:rsidRDefault="000536D2" w:rsidP="000536D2">
            <w:pPr>
              <w:spacing w:after="0" w:line="240" w:lineRule="auto"/>
              <w:jc w:val="right"/>
              <w:rPr>
                <w:rFonts w:ascii="Calibri" w:hAnsi="Calibri" w:cs="Calibri"/>
                <w:color w:val="000000"/>
                <w:sz w:val="20"/>
                <w:szCs w:val="20"/>
              </w:rPr>
            </w:pPr>
            <w:r>
              <w:rPr>
                <w:rFonts w:ascii="Calibri" w:hAnsi="Calibri" w:cs="Calibri"/>
                <w:color w:val="000000"/>
                <w:sz w:val="20"/>
                <w:szCs w:val="20"/>
              </w:rPr>
              <w:t>3784000</w:t>
            </w:r>
          </w:p>
        </w:tc>
        <w:tc>
          <w:tcPr>
            <w:tcW w:w="232" w:type="pct"/>
            <w:vMerge w:val="restart"/>
            <w:tcMar>
              <w:top w:w="57" w:type="dxa"/>
              <w:left w:w="57" w:type="dxa"/>
              <w:bottom w:w="57" w:type="dxa"/>
              <w:right w:w="57" w:type="dxa"/>
            </w:tcMar>
            <w:vAlign w:val="center"/>
          </w:tcPr>
          <w:p w:rsidR="000536D2" w:rsidRDefault="000536D2" w:rsidP="000536D2">
            <w:pPr>
              <w:spacing w:after="0" w:line="240" w:lineRule="auto"/>
              <w:jc w:val="right"/>
              <w:rPr>
                <w:rFonts w:ascii="Calibri" w:hAnsi="Calibri" w:cs="Calibri"/>
                <w:color w:val="000000"/>
                <w:sz w:val="20"/>
                <w:szCs w:val="20"/>
              </w:rPr>
            </w:pPr>
            <w:r>
              <w:rPr>
                <w:rFonts w:ascii="Calibri" w:hAnsi="Calibri" w:cs="Calibri"/>
                <w:color w:val="000000"/>
                <w:sz w:val="20"/>
                <w:szCs w:val="20"/>
              </w:rPr>
              <w:t>970</w:t>
            </w:r>
          </w:p>
        </w:tc>
        <w:tc>
          <w:tcPr>
            <w:tcW w:w="243"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5.84</w:t>
            </w:r>
          </w:p>
        </w:tc>
        <w:tc>
          <w:tcPr>
            <w:tcW w:w="291"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21024</w:t>
            </w:r>
          </w:p>
        </w:tc>
        <w:tc>
          <w:tcPr>
            <w:tcW w:w="634" w:type="pct"/>
            <w:tcMar>
              <w:top w:w="57" w:type="dxa"/>
              <w:left w:w="57" w:type="dxa"/>
              <w:bottom w:w="57" w:type="dxa"/>
              <w:right w:w="57" w:type="dxa"/>
            </w:tcMar>
            <w:vAlign w:val="center"/>
          </w:tcPr>
          <w:p w:rsidR="000536D2" w:rsidRPr="00C779C9" w:rsidRDefault="000536D2" w:rsidP="000536D2">
            <w:pPr>
              <w:spacing w:after="0" w:line="240" w:lineRule="auto"/>
              <w:rPr>
                <w:rFonts w:cstheme="minorHAnsi"/>
                <w:color w:val="000000"/>
                <w:sz w:val="20"/>
                <w:szCs w:val="20"/>
              </w:rPr>
            </w:pPr>
            <w:r w:rsidRPr="00C779C9">
              <w:rPr>
                <w:rFonts w:cstheme="minorHAnsi"/>
                <w:color w:val="000000"/>
                <w:sz w:val="20"/>
                <w:szCs w:val="20"/>
              </w:rPr>
              <w:t>RWLA volume</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148494</w:t>
            </w:r>
          </w:p>
        </w:tc>
        <w:tc>
          <w:tcPr>
            <w:tcW w:w="289"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0.94</w:t>
            </w:r>
          </w:p>
        </w:tc>
        <w:tc>
          <w:tcPr>
            <w:tcW w:w="291" w:type="pct"/>
            <w:shd w:val="clear" w:color="auto" w:fill="auto"/>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1.16</w:t>
            </w:r>
          </w:p>
        </w:tc>
        <w:tc>
          <w:tcPr>
            <w:tcW w:w="291" w:type="pct"/>
            <w:tcMar>
              <w:top w:w="57" w:type="dxa"/>
              <w:left w:w="57" w:type="dxa"/>
              <w:bottom w:w="57" w:type="dxa"/>
              <w:right w:w="57" w:type="dxa"/>
            </w:tcMar>
            <w:vAlign w:val="center"/>
          </w:tcPr>
          <w:p w:rsidR="000536D2" w:rsidRDefault="000536D2" w:rsidP="000536D2">
            <w:pPr>
              <w:spacing w:after="0" w:line="240" w:lineRule="auto"/>
              <w:jc w:val="right"/>
              <w:rPr>
                <w:rFonts w:ascii="Calibri" w:hAnsi="Calibri" w:cs="Calibri"/>
                <w:color w:val="000000"/>
                <w:sz w:val="20"/>
                <w:szCs w:val="20"/>
              </w:rPr>
            </w:pPr>
            <w:r>
              <w:rPr>
                <w:rFonts w:ascii="Calibri" w:hAnsi="Calibri" w:cs="Calibri"/>
                <w:color w:val="000000"/>
                <w:sz w:val="20"/>
                <w:szCs w:val="20"/>
              </w:rPr>
              <w:t>3.92</w:t>
            </w:r>
          </w:p>
        </w:tc>
        <w:tc>
          <w:tcPr>
            <w:tcW w:w="291" w:type="pct"/>
            <w:tcMar>
              <w:top w:w="57" w:type="dxa"/>
              <w:left w:w="57" w:type="dxa"/>
              <w:bottom w:w="57" w:type="dxa"/>
              <w:right w:w="57" w:type="dxa"/>
            </w:tcMar>
            <w:vAlign w:val="center"/>
          </w:tcPr>
          <w:p w:rsidR="000536D2" w:rsidRDefault="000536D2" w:rsidP="000536D2">
            <w:pPr>
              <w:spacing w:after="0" w:line="240" w:lineRule="auto"/>
              <w:jc w:val="right"/>
              <w:rPr>
                <w:rFonts w:ascii="Calibri" w:hAnsi="Calibri" w:cs="Calibri"/>
                <w:color w:val="000000"/>
                <w:sz w:val="20"/>
                <w:szCs w:val="20"/>
              </w:rPr>
            </w:pPr>
            <w:r>
              <w:rPr>
                <w:rFonts w:ascii="Calibri" w:hAnsi="Calibri" w:cs="Calibri"/>
                <w:color w:val="000000"/>
                <w:sz w:val="20"/>
                <w:szCs w:val="20"/>
              </w:rPr>
              <w:t>1.53</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7.06</w:t>
            </w:r>
          </w:p>
        </w:tc>
      </w:tr>
      <w:tr w:rsidR="000536D2" w:rsidRPr="00C779C9" w:rsidTr="000536D2">
        <w:trPr>
          <w:trHeight w:val="284"/>
        </w:trPr>
        <w:tc>
          <w:tcPr>
            <w:tcW w:w="487" w:type="pct"/>
            <w:vMerge/>
            <w:tcMar>
              <w:top w:w="57" w:type="dxa"/>
              <w:left w:w="57" w:type="dxa"/>
              <w:bottom w:w="57" w:type="dxa"/>
              <w:right w:w="57" w:type="dxa"/>
            </w:tcMar>
            <w:vAlign w:val="center"/>
          </w:tcPr>
          <w:p w:rsidR="000536D2" w:rsidRPr="00C779C9" w:rsidRDefault="000536D2" w:rsidP="000536D2">
            <w:pPr>
              <w:spacing w:after="0" w:line="240" w:lineRule="auto"/>
              <w:rPr>
                <w:rFonts w:eastAsia="Times New Roman" w:cstheme="minorHAnsi"/>
                <w:b/>
                <w:color w:val="000000"/>
                <w:sz w:val="20"/>
                <w:szCs w:val="20"/>
              </w:rPr>
            </w:pPr>
          </w:p>
        </w:tc>
        <w:tc>
          <w:tcPr>
            <w:tcW w:w="245" w:type="pct"/>
            <w:vMerge/>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eastAsia="Times New Roman" w:cstheme="minorHAnsi"/>
                <w:color w:val="000000"/>
                <w:sz w:val="20"/>
                <w:szCs w:val="20"/>
              </w:rPr>
            </w:pPr>
          </w:p>
        </w:tc>
        <w:tc>
          <w:tcPr>
            <w:tcW w:w="340" w:type="pct"/>
            <w:vMerge/>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eastAsia="Times New Roman" w:cstheme="minorHAnsi"/>
                <w:color w:val="000000"/>
                <w:sz w:val="20"/>
                <w:szCs w:val="20"/>
              </w:rPr>
            </w:pPr>
          </w:p>
        </w:tc>
        <w:tc>
          <w:tcPr>
            <w:tcW w:w="243" w:type="pct"/>
            <w:vMerge/>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eastAsia="Times New Roman" w:cstheme="minorHAnsi"/>
                <w:color w:val="000000"/>
                <w:sz w:val="20"/>
                <w:szCs w:val="20"/>
              </w:rPr>
            </w:pPr>
          </w:p>
        </w:tc>
        <w:tc>
          <w:tcPr>
            <w:tcW w:w="239"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302" w:type="pct"/>
            <w:vMerge/>
            <w:tcMar>
              <w:top w:w="57" w:type="dxa"/>
              <w:left w:w="57" w:type="dxa"/>
              <w:bottom w:w="57" w:type="dxa"/>
              <w:right w:w="57" w:type="dxa"/>
            </w:tcMar>
            <w:vAlign w:val="bottom"/>
          </w:tcPr>
          <w:p w:rsidR="000536D2" w:rsidRPr="00C779C9" w:rsidRDefault="000536D2" w:rsidP="000536D2">
            <w:pPr>
              <w:spacing w:after="0" w:line="240" w:lineRule="auto"/>
              <w:jc w:val="right"/>
              <w:rPr>
                <w:rFonts w:eastAsia="Times New Roman" w:cstheme="minorHAnsi"/>
                <w:color w:val="000000"/>
                <w:sz w:val="20"/>
                <w:szCs w:val="20"/>
              </w:rPr>
            </w:pPr>
          </w:p>
        </w:tc>
        <w:tc>
          <w:tcPr>
            <w:tcW w:w="232" w:type="pct"/>
            <w:vMerge/>
            <w:tcMar>
              <w:top w:w="57" w:type="dxa"/>
              <w:left w:w="57" w:type="dxa"/>
              <w:bottom w:w="57" w:type="dxa"/>
              <w:right w:w="57" w:type="dxa"/>
            </w:tcMar>
            <w:vAlign w:val="bottom"/>
          </w:tcPr>
          <w:p w:rsidR="000536D2" w:rsidRPr="00C779C9" w:rsidRDefault="000536D2" w:rsidP="000536D2">
            <w:pPr>
              <w:spacing w:after="0" w:line="240" w:lineRule="auto"/>
              <w:jc w:val="right"/>
              <w:rPr>
                <w:rFonts w:eastAsia="Times New Roman" w:cstheme="minorHAnsi"/>
                <w:color w:val="000000"/>
                <w:sz w:val="20"/>
                <w:szCs w:val="20"/>
              </w:rPr>
            </w:pPr>
          </w:p>
        </w:tc>
        <w:tc>
          <w:tcPr>
            <w:tcW w:w="243"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291"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634" w:type="pct"/>
            <w:tcMar>
              <w:top w:w="57" w:type="dxa"/>
              <w:left w:w="57" w:type="dxa"/>
              <w:bottom w:w="57" w:type="dxa"/>
              <w:right w:w="57" w:type="dxa"/>
            </w:tcMar>
            <w:vAlign w:val="center"/>
          </w:tcPr>
          <w:p w:rsidR="000536D2" w:rsidRPr="00C779C9" w:rsidRDefault="000536D2" w:rsidP="000536D2">
            <w:pPr>
              <w:spacing w:after="0" w:line="240" w:lineRule="auto"/>
              <w:rPr>
                <w:rFonts w:eastAsia="Times New Roman" w:cstheme="minorHAnsi"/>
                <w:color w:val="000000"/>
                <w:sz w:val="20"/>
                <w:szCs w:val="20"/>
              </w:rPr>
            </w:pPr>
            <w:r w:rsidRPr="00C779C9">
              <w:rPr>
                <w:rFonts w:cstheme="minorHAnsi"/>
                <w:color w:val="000000"/>
                <w:sz w:val="20"/>
                <w:szCs w:val="20"/>
              </w:rPr>
              <w:t>Summer pen volume</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r w:rsidRPr="00C779C9">
              <w:rPr>
                <w:rFonts w:cstheme="minorHAnsi"/>
                <w:color w:val="000000"/>
                <w:sz w:val="20"/>
                <w:szCs w:val="20"/>
              </w:rPr>
              <w:t>319389</w:t>
            </w:r>
          </w:p>
        </w:tc>
        <w:tc>
          <w:tcPr>
            <w:tcW w:w="289" w:type="pct"/>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r w:rsidRPr="00C779C9">
              <w:rPr>
                <w:rFonts w:cstheme="minorHAnsi"/>
                <w:color w:val="000000"/>
                <w:sz w:val="20"/>
                <w:szCs w:val="20"/>
              </w:rPr>
              <w:t>2.01</w:t>
            </w:r>
          </w:p>
        </w:tc>
        <w:tc>
          <w:tcPr>
            <w:tcW w:w="291" w:type="pct"/>
            <w:shd w:val="clear" w:color="auto" w:fill="auto"/>
            <w:tcMar>
              <w:top w:w="57" w:type="dxa"/>
              <w:left w:w="57" w:type="dxa"/>
              <w:bottom w:w="57" w:type="dxa"/>
              <w:right w:w="57" w:type="dxa"/>
            </w:tcMar>
            <w:vAlign w:val="center"/>
            <w:hideMark/>
          </w:tcPr>
          <w:p w:rsidR="000536D2" w:rsidRPr="00C779C9" w:rsidRDefault="000536D2" w:rsidP="000536D2">
            <w:pPr>
              <w:spacing w:after="0" w:line="240" w:lineRule="auto"/>
              <w:jc w:val="right"/>
              <w:rPr>
                <w:rFonts w:eastAsia="Times New Roman" w:cstheme="minorHAnsi"/>
                <w:color w:val="000000"/>
                <w:sz w:val="20"/>
                <w:szCs w:val="20"/>
              </w:rPr>
            </w:pPr>
            <w:r w:rsidRPr="00C779C9">
              <w:rPr>
                <w:rFonts w:cstheme="minorHAnsi"/>
                <w:color w:val="000000"/>
                <w:sz w:val="20"/>
                <w:szCs w:val="20"/>
              </w:rPr>
              <w:t>2.49</w:t>
            </w:r>
          </w:p>
        </w:tc>
        <w:tc>
          <w:tcPr>
            <w:tcW w:w="291" w:type="pct"/>
            <w:tcMar>
              <w:top w:w="57" w:type="dxa"/>
              <w:left w:w="57" w:type="dxa"/>
              <w:bottom w:w="57" w:type="dxa"/>
              <w:right w:w="57" w:type="dxa"/>
            </w:tcMar>
            <w:vAlign w:val="center"/>
          </w:tcPr>
          <w:p w:rsidR="000536D2" w:rsidRDefault="000536D2" w:rsidP="000536D2">
            <w:pPr>
              <w:spacing w:after="0" w:line="240" w:lineRule="auto"/>
              <w:jc w:val="right"/>
              <w:rPr>
                <w:rFonts w:ascii="Calibri" w:hAnsi="Calibri" w:cs="Calibri"/>
                <w:color w:val="000000"/>
                <w:sz w:val="20"/>
                <w:szCs w:val="20"/>
              </w:rPr>
            </w:pPr>
            <w:r>
              <w:rPr>
                <w:rFonts w:ascii="Calibri" w:hAnsi="Calibri" w:cs="Calibri"/>
                <w:color w:val="000000"/>
                <w:sz w:val="20"/>
                <w:szCs w:val="20"/>
              </w:rPr>
              <w:t>8.44</w:t>
            </w:r>
          </w:p>
        </w:tc>
        <w:tc>
          <w:tcPr>
            <w:tcW w:w="291" w:type="pct"/>
            <w:tcMar>
              <w:top w:w="57" w:type="dxa"/>
              <w:left w:w="57" w:type="dxa"/>
              <w:bottom w:w="57" w:type="dxa"/>
              <w:right w:w="57" w:type="dxa"/>
            </w:tcMar>
            <w:vAlign w:val="center"/>
          </w:tcPr>
          <w:p w:rsidR="000536D2" w:rsidRDefault="000536D2" w:rsidP="000536D2">
            <w:pPr>
              <w:spacing w:after="0" w:line="240" w:lineRule="auto"/>
              <w:jc w:val="right"/>
              <w:rPr>
                <w:rFonts w:ascii="Calibri" w:hAnsi="Calibri" w:cs="Calibri"/>
                <w:color w:val="000000"/>
                <w:sz w:val="20"/>
                <w:szCs w:val="20"/>
              </w:rPr>
            </w:pPr>
            <w:r>
              <w:rPr>
                <w:rFonts w:ascii="Calibri" w:hAnsi="Calibri" w:cs="Calibri"/>
                <w:color w:val="000000"/>
                <w:sz w:val="20"/>
                <w:szCs w:val="20"/>
              </w:rPr>
              <w:t>3.29</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sz w:val="20"/>
                <w:szCs w:val="20"/>
              </w:rPr>
            </w:pPr>
            <w:r w:rsidRPr="00C779C9">
              <w:rPr>
                <w:rFonts w:cstheme="minorHAnsi"/>
                <w:color w:val="000000"/>
                <w:sz w:val="20"/>
                <w:szCs w:val="20"/>
              </w:rPr>
              <w:t>15.19</w:t>
            </w:r>
          </w:p>
        </w:tc>
      </w:tr>
      <w:tr w:rsidR="000536D2" w:rsidRPr="00C779C9" w:rsidTr="000536D2">
        <w:trPr>
          <w:trHeight w:val="143"/>
        </w:trPr>
        <w:tc>
          <w:tcPr>
            <w:tcW w:w="487" w:type="pct"/>
            <w:vMerge w:val="restart"/>
            <w:tcMar>
              <w:top w:w="57" w:type="dxa"/>
              <w:left w:w="57" w:type="dxa"/>
              <w:bottom w:w="57" w:type="dxa"/>
              <w:right w:w="57" w:type="dxa"/>
            </w:tcMar>
            <w:vAlign w:val="center"/>
          </w:tcPr>
          <w:p w:rsidR="000536D2" w:rsidRPr="00C779C9" w:rsidRDefault="000536D2" w:rsidP="000536D2">
            <w:pPr>
              <w:spacing w:after="0" w:line="240" w:lineRule="auto"/>
              <w:rPr>
                <w:rFonts w:cstheme="minorHAnsi"/>
                <w:b/>
                <w:bCs/>
                <w:color w:val="000000"/>
                <w:sz w:val="20"/>
                <w:szCs w:val="20"/>
              </w:rPr>
            </w:pPr>
            <w:r w:rsidRPr="00C779C9">
              <w:rPr>
                <w:rFonts w:cstheme="minorHAnsi"/>
                <w:b/>
                <w:bCs/>
                <w:color w:val="000000"/>
                <w:sz w:val="20"/>
                <w:szCs w:val="20"/>
              </w:rPr>
              <w:t>Wet Moor</w:t>
            </w:r>
          </w:p>
        </w:tc>
        <w:tc>
          <w:tcPr>
            <w:tcW w:w="245" w:type="pct"/>
            <w:vMerge w:val="restart"/>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8.88 </w:t>
            </w:r>
          </w:p>
        </w:tc>
        <w:tc>
          <w:tcPr>
            <w:tcW w:w="340" w:type="pct"/>
            <w:vMerge w:val="restart"/>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15938000</w:t>
            </w:r>
          </w:p>
        </w:tc>
        <w:tc>
          <w:tcPr>
            <w:tcW w:w="243" w:type="pct"/>
            <w:vMerge w:val="restart"/>
            <w:shd w:val="clear" w:color="auto" w:fill="auto"/>
            <w:noWrap/>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1134</w:t>
            </w:r>
          </w:p>
        </w:tc>
        <w:tc>
          <w:tcPr>
            <w:tcW w:w="239"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7.3</w:t>
            </w:r>
          </w:p>
        </w:tc>
        <w:tc>
          <w:tcPr>
            <w:tcW w:w="302"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sz w:val="20"/>
                <w:szCs w:val="20"/>
              </w:rPr>
            </w:pPr>
            <w:r w:rsidRPr="00C779C9">
              <w:rPr>
                <w:rFonts w:cstheme="minorHAnsi"/>
                <w:sz w:val="20"/>
                <w:szCs w:val="20"/>
              </w:rPr>
              <w:t>2149000</w:t>
            </w:r>
          </w:p>
        </w:tc>
        <w:tc>
          <w:tcPr>
            <w:tcW w:w="232"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559</w:t>
            </w:r>
          </w:p>
        </w:tc>
        <w:tc>
          <w:tcPr>
            <w:tcW w:w="243"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5.61</w:t>
            </w:r>
          </w:p>
        </w:tc>
        <w:tc>
          <w:tcPr>
            <w:tcW w:w="291" w:type="pct"/>
            <w:vMerge w:val="restar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20196</w:t>
            </w:r>
          </w:p>
        </w:tc>
        <w:tc>
          <w:tcPr>
            <w:tcW w:w="634" w:type="pct"/>
            <w:tcMar>
              <w:top w:w="57" w:type="dxa"/>
              <w:left w:w="57" w:type="dxa"/>
              <w:bottom w:w="57" w:type="dxa"/>
              <w:right w:w="57" w:type="dxa"/>
            </w:tcMar>
            <w:vAlign w:val="center"/>
          </w:tcPr>
          <w:p w:rsidR="000536D2" w:rsidRPr="00C779C9" w:rsidRDefault="000536D2" w:rsidP="000536D2">
            <w:pPr>
              <w:spacing w:after="0" w:line="240" w:lineRule="auto"/>
              <w:rPr>
                <w:rFonts w:cstheme="minorHAnsi"/>
                <w:color w:val="000000"/>
                <w:sz w:val="20"/>
                <w:szCs w:val="20"/>
              </w:rPr>
            </w:pPr>
            <w:r w:rsidRPr="00C779C9">
              <w:rPr>
                <w:rFonts w:cstheme="minorHAnsi"/>
                <w:color w:val="000000"/>
                <w:sz w:val="20"/>
                <w:szCs w:val="20"/>
              </w:rPr>
              <w:t>RWLA volume</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130146</w:t>
            </w:r>
          </w:p>
        </w:tc>
        <w:tc>
          <w:tcPr>
            <w:tcW w:w="289"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0.82</w:t>
            </w:r>
          </w:p>
        </w:tc>
        <w:tc>
          <w:tcPr>
            <w:tcW w:w="291" w:type="pct"/>
            <w:shd w:val="clear" w:color="auto" w:fill="auto"/>
            <w:tcMar>
              <w:top w:w="57" w:type="dxa"/>
              <w:left w:w="57" w:type="dxa"/>
              <w:bottom w:w="57" w:type="dxa"/>
              <w:right w:w="57" w:type="dxa"/>
            </w:tcMar>
            <w:vAlign w:val="center"/>
            <w:hideMark/>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1.15</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6.06</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2.33</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color w:val="000000"/>
                <w:sz w:val="20"/>
                <w:szCs w:val="20"/>
              </w:rPr>
            </w:pPr>
            <w:r w:rsidRPr="00C779C9">
              <w:rPr>
                <w:rFonts w:cstheme="minorHAnsi"/>
                <w:color w:val="000000"/>
                <w:sz w:val="20"/>
                <w:szCs w:val="20"/>
              </w:rPr>
              <w:t>6.44</w:t>
            </w:r>
          </w:p>
        </w:tc>
      </w:tr>
      <w:tr w:rsidR="000536D2" w:rsidRPr="00C779C9" w:rsidTr="000536D2">
        <w:trPr>
          <w:trHeight w:val="142"/>
        </w:trPr>
        <w:tc>
          <w:tcPr>
            <w:tcW w:w="487" w:type="pct"/>
            <w:vMerge/>
            <w:tcMar>
              <w:top w:w="57" w:type="dxa"/>
              <w:left w:w="57" w:type="dxa"/>
              <w:bottom w:w="57" w:type="dxa"/>
              <w:right w:w="57" w:type="dxa"/>
            </w:tcMar>
            <w:vAlign w:val="center"/>
          </w:tcPr>
          <w:p w:rsidR="000536D2" w:rsidRPr="00C779C9" w:rsidRDefault="000536D2" w:rsidP="000536D2">
            <w:pPr>
              <w:spacing w:after="0" w:line="240" w:lineRule="auto"/>
              <w:rPr>
                <w:rFonts w:eastAsia="Times New Roman" w:cstheme="minorHAnsi"/>
                <w:b/>
                <w:color w:val="000000"/>
                <w:sz w:val="20"/>
                <w:szCs w:val="20"/>
              </w:rPr>
            </w:pPr>
          </w:p>
        </w:tc>
        <w:tc>
          <w:tcPr>
            <w:tcW w:w="245" w:type="pct"/>
            <w:vMerge/>
            <w:shd w:val="clear" w:color="auto" w:fill="auto"/>
            <w:noWrap/>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340" w:type="pct"/>
            <w:vMerge/>
            <w:shd w:val="clear" w:color="auto" w:fill="auto"/>
            <w:noWrap/>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243" w:type="pct"/>
            <w:vMerge/>
            <w:shd w:val="clear" w:color="auto" w:fill="auto"/>
            <w:noWrap/>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239"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302"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sz w:val="20"/>
                <w:szCs w:val="20"/>
              </w:rPr>
            </w:pPr>
          </w:p>
        </w:tc>
        <w:tc>
          <w:tcPr>
            <w:tcW w:w="232"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243"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291" w:type="pct"/>
            <w:vMerge/>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p>
        </w:tc>
        <w:tc>
          <w:tcPr>
            <w:tcW w:w="634" w:type="pct"/>
            <w:tcMar>
              <w:top w:w="57" w:type="dxa"/>
              <w:left w:w="57" w:type="dxa"/>
              <w:bottom w:w="57" w:type="dxa"/>
              <w:right w:w="57" w:type="dxa"/>
            </w:tcMar>
            <w:vAlign w:val="center"/>
          </w:tcPr>
          <w:p w:rsidR="000536D2" w:rsidRPr="00C779C9" w:rsidRDefault="000536D2" w:rsidP="000536D2">
            <w:pPr>
              <w:spacing w:after="0" w:line="240" w:lineRule="auto"/>
              <w:rPr>
                <w:rFonts w:eastAsia="Times New Roman" w:cstheme="minorHAnsi"/>
                <w:color w:val="000000"/>
                <w:sz w:val="20"/>
                <w:szCs w:val="20"/>
              </w:rPr>
            </w:pPr>
            <w:r w:rsidRPr="00C779C9">
              <w:rPr>
                <w:rFonts w:cstheme="minorHAnsi"/>
                <w:color w:val="000000"/>
                <w:sz w:val="20"/>
                <w:szCs w:val="20"/>
              </w:rPr>
              <w:t>Summer pen volume</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r w:rsidRPr="00C779C9">
              <w:rPr>
                <w:rFonts w:cstheme="minorHAnsi"/>
                <w:color w:val="000000"/>
                <w:sz w:val="20"/>
                <w:szCs w:val="20"/>
              </w:rPr>
              <w:t>240813</w:t>
            </w:r>
          </w:p>
        </w:tc>
        <w:tc>
          <w:tcPr>
            <w:tcW w:w="289" w:type="pct"/>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r w:rsidRPr="00C779C9">
              <w:rPr>
                <w:rFonts w:cstheme="minorHAnsi"/>
                <w:color w:val="000000"/>
                <w:sz w:val="20"/>
                <w:szCs w:val="20"/>
              </w:rPr>
              <w:t>1.51</w:t>
            </w:r>
          </w:p>
        </w:tc>
        <w:tc>
          <w:tcPr>
            <w:tcW w:w="291" w:type="pct"/>
            <w:shd w:val="clear" w:color="auto" w:fill="auto"/>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r w:rsidRPr="00C779C9">
              <w:rPr>
                <w:rFonts w:cstheme="minorHAnsi"/>
                <w:color w:val="000000"/>
                <w:sz w:val="20"/>
                <w:szCs w:val="20"/>
              </w:rPr>
              <w:t>2.12</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eastAsia="Times New Roman" w:cstheme="minorHAnsi"/>
                <w:color w:val="000000"/>
                <w:sz w:val="20"/>
                <w:szCs w:val="20"/>
              </w:rPr>
            </w:pPr>
            <w:r w:rsidRPr="00C779C9">
              <w:rPr>
                <w:rFonts w:cstheme="minorHAnsi"/>
                <w:color w:val="000000"/>
                <w:sz w:val="20"/>
                <w:szCs w:val="20"/>
              </w:rPr>
              <w:t>11.21</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sz w:val="20"/>
                <w:szCs w:val="20"/>
              </w:rPr>
            </w:pPr>
            <w:r w:rsidRPr="00C779C9">
              <w:rPr>
                <w:rFonts w:cstheme="minorHAnsi"/>
                <w:color w:val="000000"/>
                <w:sz w:val="20"/>
                <w:szCs w:val="20"/>
              </w:rPr>
              <w:t>4.31</w:t>
            </w:r>
          </w:p>
        </w:tc>
        <w:tc>
          <w:tcPr>
            <w:tcW w:w="291" w:type="pct"/>
            <w:tcMar>
              <w:top w:w="57" w:type="dxa"/>
              <w:left w:w="57" w:type="dxa"/>
              <w:bottom w:w="57" w:type="dxa"/>
              <w:right w:w="57" w:type="dxa"/>
            </w:tcMar>
            <w:vAlign w:val="center"/>
          </w:tcPr>
          <w:p w:rsidR="000536D2" w:rsidRPr="00C779C9" w:rsidRDefault="000536D2" w:rsidP="000536D2">
            <w:pPr>
              <w:spacing w:after="0" w:line="240" w:lineRule="auto"/>
              <w:jc w:val="right"/>
              <w:rPr>
                <w:rFonts w:cstheme="minorHAnsi"/>
                <w:sz w:val="20"/>
                <w:szCs w:val="20"/>
              </w:rPr>
            </w:pPr>
            <w:r w:rsidRPr="00C779C9">
              <w:rPr>
                <w:rFonts w:cstheme="minorHAnsi"/>
                <w:color w:val="000000"/>
                <w:sz w:val="20"/>
                <w:szCs w:val="20"/>
              </w:rPr>
              <w:t>11.92</w:t>
            </w:r>
          </w:p>
        </w:tc>
      </w:tr>
    </w:tbl>
    <w:p w:rsidR="007719E1" w:rsidRDefault="007719E1" w:rsidP="007719E1">
      <w:pPr>
        <w:pStyle w:val="Caption"/>
        <w:keepNext/>
      </w:pPr>
      <w:r w:rsidRPr="00A102C1">
        <w:rPr>
          <w:noProof/>
        </w:rPr>
        <w:lastRenderedPageBreak/>
        <w:drawing>
          <wp:inline distT="0" distB="0" distL="0" distR="0">
            <wp:extent cx="8639175" cy="5238750"/>
            <wp:effectExtent l="19050" t="0" r="9525"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719E1" w:rsidRPr="007719E1" w:rsidRDefault="007719E1" w:rsidP="007719E1">
      <w:pPr>
        <w:pStyle w:val="Caption"/>
      </w:pPr>
      <w:r w:rsidRPr="00515158">
        <w:rPr>
          <w:b w:val="0"/>
          <w:color w:val="auto"/>
          <w:sz w:val="22"/>
          <w:szCs w:val="22"/>
        </w:rPr>
        <w:t xml:space="preserve">Figure </w:t>
      </w:r>
      <w:r w:rsidR="00251534" w:rsidRPr="00515158">
        <w:rPr>
          <w:b w:val="0"/>
          <w:color w:val="auto"/>
          <w:sz w:val="22"/>
          <w:szCs w:val="22"/>
        </w:rPr>
        <w:fldChar w:fldCharType="begin"/>
      </w:r>
      <w:r w:rsidRPr="00515158">
        <w:rPr>
          <w:b w:val="0"/>
          <w:color w:val="auto"/>
          <w:sz w:val="22"/>
          <w:szCs w:val="22"/>
        </w:rPr>
        <w:instrText xml:space="preserve"> SEQ Figure \* ARABIC </w:instrText>
      </w:r>
      <w:r w:rsidR="00251534" w:rsidRPr="00515158">
        <w:rPr>
          <w:b w:val="0"/>
          <w:color w:val="auto"/>
          <w:sz w:val="22"/>
          <w:szCs w:val="22"/>
        </w:rPr>
        <w:fldChar w:fldCharType="separate"/>
      </w:r>
      <w:r w:rsidR="000E193B">
        <w:rPr>
          <w:b w:val="0"/>
          <w:noProof/>
          <w:color w:val="auto"/>
          <w:sz w:val="22"/>
          <w:szCs w:val="22"/>
        </w:rPr>
        <w:t>14</w:t>
      </w:r>
      <w:r w:rsidR="00251534" w:rsidRPr="00515158">
        <w:rPr>
          <w:b w:val="0"/>
          <w:color w:val="auto"/>
          <w:sz w:val="22"/>
          <w:szCs w:val="22"/>
        </w:rPr>
        <w:fldChar w:fldCharType="end"/>
      </w:r>
      <w:r w:rsidR="00F54328">
        <w:rPr>
          <w:b w:val="0"/>
          <w:color w:val="auto"/>
          <w:sz w:val="22"/>
          <w:szCs w:val="22"/>
        </w:rPr>
        <w:t>.</w:t>
      </w:r>
      <w:r w:rsidRPr="00515158">
        <w:rPr>
          <w:b w:val="0"/>
          <w:color w:val="auto"/>
          <w:sz w:val="22"/>
          <w:szCs w:val="22"/>
        </w:rPr>
        <w:t xml:space="preserve"> Results from sensitivity analysis of distance of influence and specific yield. The total </w:t>
      </w:r>
      <w:r w:rsidR="00BB088B">
        <w:rPr>
          <w:b w:val="0"/>
          <w:color w:val="auto"/>
          <w:sz w:val="22"/>
          <w:szCs w:val="22"/>
        </w:rPr>
        <w:t xml:space="preserve">ditch </w:t>
      </w:r>
      <w:r w:rsidRPr="00515158">
        <w:rPr>
          <w:b w:val="0"/>
          <w:color w:val="auto"/>
          <w:sz w:val="22"/>
          <w:szCs w:val="22"/>
        </w:rPr>
        <w:t>storage volumes are presented, calculated with values of distance of influence of 5 m, 9 m and 30 m, and specific yield values of 0.15, 0.2 and 0.25.</w:t>
      </w:r>
    </w:p>
    <w:p w:rsidR="000536D2" w:rsidRPr="000536D2" w:rsidRDefault="000536D2" w:rsidP="000536D2">
      <w:pPr>
        <w:sectPr w:rsidR="000536D2" w:rsidRPr="000536D2" w:rsidSect="00A408EB">
          <w:pgSz w:w="16838" w:h="11906" w:orient="landscape"/>
          <w:pgMar w:top="1440" w:right="1440" w:bottom="1440" w:left="1440" w:header="709" w:footer="709" w:gutter="0"/>
          <w:cols w:space="708"/>
          <w:docGrid w:linePitch="360"/>
        </w:sectPr>
      </w:pPr>
    </w:p>
    <w:p w:rsidR="008C717F" w:rsidRDefault="00C552FB" w:rsidP="00B4335D">
      <w:pPr>
        <w:pStyle w:val="Heading2"/>
        <w:numPr>
          <w:ilvl w:val="0"/>
          <w:numId w:val="16"/>
        </w:numPr>
      </w:pPr>
      <w:bookmarkStart w:id="15" w:name="_Toc402956182"/>
      <w:r>
        <w:lastRenderedPageBreak/>
        <w:t xml:space="preserve">Summary and </w:t>
      </w:r>
      <w:r w:rsidR="008C717F">
        <w:t>Conclusion</w:t>
      </w:r>
      <w:bookmarkEnd w:id="15"/>
    </w:p>
    <w:p w:rsidR="00B4335D" w:rsidRPr="00B4335D" w:rsidRDefault="00B4335D" w:rsidP="00B4335D"/>
    <w:p w:rsidR="00994CB4" w:rsidRPr="00994CB4" w:rsidRDefault="00D24A98" w:rsidP="00994CB4">
      <w:pPr>
        <w:jc w:val="both"/>
      </w:pPr>
      <w:r w:rsidRPr="00994CB4">
        <w:t xml:space="preserve">The review presented here sets out to </w:t>
      </w:r>
      <w:r w:rsidR="00994CB4" w:rsidRPr="00994CB4">
        <w:t>assess</w:t>
      </w:r>
      <w:r w:rsidRPr="00994CB4">
        <w:t xml:space="preserve"> the impact of </w:t>
      </w:r>
      <w:r w:rsidR="00994CB4" w:rsidRPr="00994CB4">
        <w:t xml:space="preserve">three different water level management scenarios </w:t>
      </w:r>
      <w:r w:rsidRPr="00994CB4">
        <w:t xml:space="preserve">on flooding in the Somerset Levels and Moors. Raised water level ditches exist in ten water level management plan units in </w:t>
      </w:r>
      <w:r w:rsidR="005E2912">
        <w:t>Somerset</w:t>
      </w:r>
      <w:r w:rsidRPr="00994CB4">
        <w:t xml:space="preserve">, </w:t>
      </w:r>
      <w:r w:rsidR="005E2912">
        <w:t>covering 2529 ha or 13.1% of all WLMP areas and incorporating 264 km, or 10.9%, of all watercourses</w:t>
      </w:r>
      <w:r w:rsidR="003F7722">
        <w:t>. The extent of RWLA in each area varied considerably from</w:t>
      </w:r>
      <w:r w:rsidRPr="00994CB4">
        <w:t xml:space="preserve"> 0.6 % and 84.6% of </w:t>
      </w:r>
      <w:r w:rsidR="006C7E57" w:rsidRPr="00994CB4">
        <w:t xml:space="preserve">the total ditch length. </w:t>
      </w:r>
      <w:r w:rsidR="00B8404C" w:rsidRPr="00994CB4">
        <w:t xml:space="preserve">Water levels in the raised water level areas are maintained at bank full level between December and April to mimic the ‘natural’ hydrological condition. </w:t>
      </w:r>
      <w:r w:rsidR="00C552FB" w:rsidRPr="00994CB4">
        <w:t xml:space="preserve">Water levels in ditches outside of the raised water level areas are maintained at 0.6 m below bank full level during the same period. This represents a reduction in the flood storage capacity </w:t>
      </w:r>
      <w:r w:rsidR="00BB088B">
        <w:t xml:space="preserve">of the ditch network </w:t>
      </w:r>
      <w:r w:rsidR="00C552FB" w:rsidRPr="00994CB4">
        <w:t xml:space="preserve">between December and April. </w:t>
      </w:r>
      <w:r w:rsidR="00994CB4" w:rsidRPr="00994CB4">
        <w:t xml:space="preserve">Between May and November, all ditches are maintained at 0.3 m below ground surface. </w:t>
      </w:r>
    </w:p>
    <w:p w:rsidR="008247D6" w:rsidRDefault="00C552FB" w:rsidP="00994CB4">
      <w:pPr>
        <w:jc w:val="both"/>
        <w:rPr>
          <w:rFonts w:ascii="Calibri" w:eastAsia="Times New Roman" w:hAnsi="Calibri" w:cs="Calibri"/>
          <w:color w:val="000000"/>
        </w:rPr>
      </w:pPr>
      <w:r w:rsidRPr="00994CB4">
        <w:t xml:space="preserve">The total </w:t>
      </w:r>
      <w:r w:rsidR="00BB088B">
        <w:t xml:space="preserve">ditch </w:t>
      </w:r>
      <w:r w:rsidRPr="00994CB4">
        <w:t xml:space="preserve">storage volume consists of channel storage and soil storage. Quantification of the channel storage volume has been carried out by multiplying the channel dimensions by the </w:t>
      </w:r>
      <w:r w:rsidR="00527DD2" w:rsidRPr="00994CB4">
        <w:t xml:space="preserve">available depth of water. Soil storage is more difficult to quantify and the simplified approach used here considers a distance of influence extending from the ditch into the field, and soil specific yield which describes the volume of water that can be accommodated by a volume of soil. An extensive review of the literature indicates that the </w:t>
      </w:r>
      <w:r w:rsidR="0028569B">
        <w:t xml:space="preserve">mean </w:t>
      </w:r>
      <w:r w:rsidR="00527DD2" w:rsidRPr="00994CB4">
        <w:t xml:space="preserve">likely distance of influence is </w:t>
      </w:r>
      <w:r w:rsidR="0028569B">
        <w:t>9 m</w:t>
      </w:r>
      <w:r w:rsidR="00527DD2" w:rsidRPr="00994CB4">
        <w:t xml:space="preserve">, and specific yield has a mean value of 0.2. Storage calculations were carried out using these parameter values. </w:t>
      </w:r>
      <w:r w:rsidR="003F7722">
        <w:t>T</w:t>
      </w:r>
      <w:r w:rsidR="003F7722" w:rsidRPr="006C374B">
        <w:t xml:space="preserve">he </w:t>
      </w:r>
      <w:r w:rsidR="003F7722">
        <w:t>maximum</w:t>
      </w:r>
      <w:r w:rsidR="003F7722" w:rsidRPr="006C374B">
        <w:t xml:space="preserve"> </w:t>
      </w:r>
      <w:r w:rsidR="003F7722">
        <w:t xml:space="preserve">theoretical </w:t>
      </w:r>
      <w:r w:rsidR="00BB088B">
        <w:t xml:space="preserve">ditch </w:t>
      </w:r>
      <w:r w:rsidR="003F7722" w:rsidRPr="006C374B">
        <w:t>stora</w:t>
      </w:r>
      <w:r w:rsidR="003F7722">
        <w:t xml:space="preserve">ge of watercourses and soil profiles </w:t>
      </w:r>
      <w:r w:rsidR="003F7722" w:rsidRPr="006C374B">
        <w:t xml:space="preserve">varies between </w:t>
      </w:r>
      <w:r w:rsidR="003F7722">
        <w:t>WLMP areas</w:t>
      </w:r>
      <w:r w:rsidR="003F7722" w:rsidRPr="006C374B">
        <w:t xml:space="preserve"> from a minimum volume of 108,156 m</w:t>
      </w:r>
      <w:r w:rsidR="003F7722" w:rsidRPr="003F7722">
        <w:rPr>
          <w:vertAlign w:val="superscript"/>
        </w:rPr>
        <w:t>3</w:t>
      </w:r>
      <w:r w:rsidR="003F7722" w:rsidRPr="006C374B">
        <w:t xml:space="preserve"> at Southlake, to a maximum volume of 1,778,952 m</w:t>
      </w:r>
      <w:r w:rsidR="003F7722" w:rsidRPr="003F7722">
        <w:rPr>
          <w:vertAlign w:val="superscript"/>
        </w:rPr>
        <w:t>3</w:t>
      </w:r>
      <w:r w:rsidR="003F7722" w:rsidRPr="006C374B">
        <w:t xml:space="preserve"> at Kings Sedgemoor.</w:t>
      </w:r>
      <w:r w:rsidR="003F7722">
        <w:t xml:space="preserve"> The maximum</w:t>
      </w:r>
      <w:r w:rsidR="003F7722" w:rsidRPr="006C374B">
        <w:t xml:space="preserve"> </w:t>
      </w:r>
      <w:r w:rsidR="003F7722">
        <w:t xml:space="preserve">theoretical </w:t>
      </w:r>
      <w:r w:rsidR="00BB088B">
        <w:t xml:space="preserve">ditch </w:t>
      </w:r>
      <w:r w:rsidR="003F7722" w:rsidRPr="006C374B">
        <w:t>stora</w:t>
      </w:r>
      <w:r w:rsidR="003F7722">
        <w:t xml:space="preserve">ge across all areas is </w:t>
      </w:r>
      <w:r w:rsidR="003F7722" w:rsidRPr="003F7722">
        <w:rPr>
          <w:rFonts w:ascii="Calibri" w:eastAsia="Times New Roman" w:hAnsi="Calibri" w:cs="Calibri"/>
          <w:color w:val="000000"/>
        </w:rPr>
        <w:t xml:space="preserve">7,534,878 </w:t>
      </w:r>
      <w:r w:rsidR="003F7722" w:rsidRPr="006C374B">
        <w:t>m</w:t>
      </w:r>
      <w:r w:rsidR="003F7722" w:rsidRPr="003F7722">
        <w:rPr>
          <w:vertAlign w:val="superscript"/>
        </w:rPr>
        <w:t>3</w:t>
      </w:r>
      <w:r w:rsidR="003F7722" w:rsidRPr="003F7722">
        <w:rPr>
          <w:rFonts w:ascii="Calibri" w:eastAsia="Times New Roman" w:hAnsi="Calibri" w:cs="Calibri"/>
          <w:color w:val="000000"/>
        </w:rPr>
        <w:t>.</w:t>
      </w:r>
    </w:p>
    <w:p w:rsidR="004C62AD" w:rsidRDefault="00527DD2" w:rsidP="004C62AD">
      <w:pPr>
        <w:jc w:val="both"/>
      </w:pPr>
      <w:r w:rsidRPr="00994CB4">
        <w:t xml:space="preserve">The volume of </w:t>
      </w:r>
      <w:r w:rsidR="003F7722">
        <w:t xml:space="preserve">ditch and soil profile </w:t>
      </w:r>
      <w:r w:rsidRPr="00994CB4">
        <w:t>storage that is lost through maintenance of the raised water level areas varies from 2016 m</w:t>
      </w:r>
      <w:r w:rsidRPr="00994CB4">
        <w:rPr>
          <w:vertAlign w:val="superscript"/>
        </w:rPr>
        <w:t>3</w:t>
      </w:r>
      <w:r w:rsidRPr="00994CB4">
        <w:t xml:space="preserve"> to 172,518 m</w:t>
      </w:r>
      <w:r w:rsidRPr="00994CB4">
        <w:rPr>
          <w:vertAlign w:val="superscript"/>
        </w:rPr>
        <w:t>3</w:t>
      </w:r>
      <w:r w:rsidRPr="00994CB4">
        <w:t xml:space="preserve"> depending on the unit. As a </w:t>
      </w:r>
      <w:r w:rsidR="007251AE" w:rsidRPr="00994CB4">
        <w:t xml:space="preserve">percentage of the total </w:t>
      </w:r>
      <w:r w:rsidR="00BB088B">
        <w:t xml:space="preserve">ditch </w:t>
      </w:r>
      <w:r w:rsidR="007251AE" w:rsidRPr="00994CB4">
        <w:t xml:space="preserve">storage available, the raised water level areas account for </w:t>
      </w:r>
      <w:r w:rsidR="00E10D66">
        <w:t>10</w:t>
      </w:r>
      <w:r w:rsidR="003F7722">
        <w:t>% of the theoretical maximum ditch storage across all areas, although this varied considerably between WLMP areas from 0</w:t>
      </w:r>
      <w:r w:rsidR="003F7722" w:rsidRPr="00994CB4">
        <w:t>.6 and 82.2</w:t>
      </w:r>
      <w:r w:rsidR="003F7722">
        <w:t>%</w:t>
      </w:r>
      <w:r w:rsidR="007251AE" w:rsidRPr="00994CB4">
        <w:t xml:space="preserve">. Expressed as a percentage of the total rainfall volume falling on each unit in </w:t>
      </w:r>
      <w:r w:rsidR="00994CB4">
        <w:t>winter 13/14</w:t>
      </w:r>
      <w:r w:rsidR="007251AE" w:rsidRPr="00994CB4">
        <w:t xml:space="preserve"> the volume of</w:t>
      </w:r>
      <w:r w:rsidR="00BB088B">
        <w:t xml:space="preserve"> ditch</w:t>
      </w:r>
      <w:r w:rsidR="007251AE" w:rsidRPr="00994CB4">
        <w:t xml:space="preserve"> storage lost as a result of the raised water level areas is 2% or less for 9 out of the 10 sites</w:t>
      </w:r>
      <w:r w:rsidR="003F7722">
        <w:t>.  The maximum</w:t>
      </w:r>
      <w:r w:rsidR="003F7722" w:rsidRPr="006C374B">
        <w:t xml:space="preserve"> </w:t>
      </w:r>
      <w:r w:rsidR="003F7722">
        <w:t xml:space="preserve">theoretical </w:t>
      </w:r>
      <w:r w:rsidR="00BB088B">
        <w:t xml:space="preserve">ditch </w:t>
      </w:r>
      <w:r w:rsidR="003F7722" w:rsidRPr="006C374B">
        <w:t>stora</w:t>
      </w:r>
      <w:r w:rsidR="003F7722">
        <w:t>ge of watercourses and soil profiles across all areas</w:t>
      </w:r>
      <w:r w:rsidR="003F7722" w:rsidRPr="00AF30E5">
        <w:rPr>
          <w:rFonts w:ascii="Calibri" w:eastAsia="Times New Roman" w:hAnsi="Calibri" w:cs="Calibri"/>
          <w:color w:val="000000"/>
        </w:rPr>
        <w:t xml:space="preserve"> </w:t>
      </w:r>
      <w:r w:rsidR="004C62AD">
        <w:rPr>
          <w:rFonts w:ascii="Calibri" w:eastAsia="Times New Roman" w:hAnsi="Calibri" w:cs="Calibri"/>
          <w:color w:val="000000"/>
        </w:rPr>
        <w:t xml:space="preserve">is </w:t>
      </w:r>
      <w:r w:rsidR="003F7722">
        <w:rPr>
          <w:rFonts w:ascii="Calibri" w:eastAsia="Times New Roman" w:hAnsi="Calibri" w:cs="Calibri"/>
          <w:color w:val="000000"/>
        </w:rPr>
        <w:t xml:space="preserve">also relatively small, at less than 10%, when compared to the </w:t>
      </w:r>
      <w:r w:rsidR="003F7722" w:rsidRPr="00AF30E5">
        <w:rPr>
          <w:rFonts w:ascii="Calibri" w:eastAsia="Times New Roman" w:hAnsi="Calibri" w:cs="Calibri"/>
          <w:color w:val="000000"/>
        </w:rPr>
        <w:t xml:space="preserve">total </w:t>
      </w:r>
      <w:r w:rsidR="003F7722">
        <w:rPr>
          <w:rFonts w:ascii="Calibri" w:eastAsia="Times New Roman" w:hAnsi="Calibri" w:cs="Calibri"/>
          <w:color w:val="000000"/>
        </w:rPr>
        <w:t xml:space="preserve">winter </w:t>
      </w:r>
      <w:r w:rsidR="003F7722" w:rsidRPr="00AF30E5">
        <w:rPr>
          <w:rFonts w:ascii="Calibri" w:eastAsia="Times New Roman" w:hAnsi="Calibri" w:cs="Calibri"/>
          <w:color w:val="000000"/>
        </w:rPr>
        <w:t xml:space="preserve">rainfall </w:t>
      </w:r>
      <w:r w:rsidR="003F7722">
        <w:rPr>
          <w:rFonts w:ascii="Calibri" w:eastAsia="Times New Roman" w:hAnsi="Calibri" w:cs="Calibri"/>
          <w:color w:val="000000"/>
        </w:rPr>
        <w:t xml:space="preserve">that fell within </w:t>
      </w:r>
      <w:r w:rsidR="003F7722" w:rsidRPr="00AF30E5">
        <w:rPr>
          <w:rFonts w:ascii="Calibri" w:eastAsia="Times New Roman" w:hAnsi="Calibri" w:cs="Calibri"/>
          <w:color w:val="000000"/>
        </w:rPr>
        <w:t>WLMP areas during December, January and February 2013-14</w:t>
      </w:r>
      <w:r w:rsidR="004C62AD">
        <w:t>.</w:t>
      </w:r>
      <w:r w:rsidR="004C62AD" w:rsidRPr="004C62AD">
        <w:t xml:space="preserve"> </w:t>
      </w:r>
      <w:r w:rsidR="004C62AD">
        <w:t xml:space="preserve">The reduction in </w:t>
      </w:r>
      <w:r w:rsidR="00BB088B">
        <w:t xml:space="preserve">ditch </w:t>
      </w:r>
      <w:r w:rsidR="004C62AD">
        <w:t>storage through maintenance of summer water levels compared to the winter theoretical maximum ditch storage is uniformly 50% across sites, equating to absolute volumes varying between 54,078 m</w:t>
      </w:r>
      <w:r w:rsidR="004C62AD" w:rsidRPr="008247D6">
        <w:rPr>
          <w:vertAlign w:val="superscript"/>
        </w:rPr>
        <w:t>3</w:t>
      </w:r>
      <w:r w:rsidR="004C62AD">
        <w:t xml:space="preserve"> at Southlake and 889,476 m</w:t>
      </w:r>
      <w:r w:rsidR="004C62AD" w:rsidRPr="008247D6">
        <w:rPr>
          <w:vertAlign w:val="superscript"/>
        </w:rPr>
        <w:t>3</w:t>
      </w:r>
      <w:r w:rsidR="004C62AD">
        <w:t xml:space="preserve"> at Kings Sedgemoor.</w:t>
      </w:r>
    </w:p>
    <w:p w:rsidR="006227B3" w:rsidRDefault="003F7722" w:rsidP="006227B3">
      <w:pPr>
        <w:jc w:val="both"/>
      </w:pPr>
      <w:r>
        <w:t>A</w:t>
      </w:r>
      <w:r w:rsidRPr="00994CB4">
        <w:t xml:space="preserve">nalysis </w:t>
      </w:r>
      <w:r w:rsidR="007251AE" w:rsidRPr="00994CB4">
        <w:t xml:space="preserve">in relation to the estimated flood volume during the winter </w:t>
      </w:r>
      <w:r w:rsidR="006227B3">
        <w:t>20</w:t>
      </w:r>
      <w:r w:rsidR="007251AE" w:rsidRPr="00994CB4">
        <w:t xml:space="preserve">13/14 floods indicates that the volume </w:t>
      </w:r>
      <w:r w:rsidR="007251AE" w:rsidRPr="00145966">
        <w:rPr>
          <w:rFonts w:cstheme="minorHAnsi"/>
        </w:rPr>
        <w:t xml:space="preserve">of </w:t>
      </w:r>
      <w:r w:rsidR="00BB088B">
        <w:rPr>
          <w:rFonts w:cstheme="minorHAnsi"/>
        </w:rPr>
        <w:t xml:space="preserve">ditch </w:t>
      </w:r>
      <w:r w:rsidR="007251AE" w:rsidRPr="00145966">
        <w:rPr>
          <w:rFonts w:cstheme="minorHAnsi"/>
        </w:rPr>
        <w:t xml:space="preserve">storage </w:t>
      </w:r>
      <w:r w:rsidR="00F01CA9" w:rsidRPr="00145966">
        <w:rPr>
          <w:rFonts w:cstheme="minorHAnsi"/>
        </w:rPr>
        <w:t>occupied by</w:t>
      </w:r>
      <w:r w:rsidR="007251AE" w:rsidRPr="00145966">
        <w:rPr>
          <w:rFonts w:cstheme="minorHAnsi"/>
        </w:rPr>
        <w:t xml:space="preserve"> the raised water level areas </w:t>
      </w:r>
      <w:r w:rsidR="008247D6" w:rsidRPr="00145966">
        <w:rPr>
          <w:rFonts w:cstheme="minorHAnsi"/>
        </w:rPr>
        <w:t xml:space="preserve">was </w:t>
      </w:r>
      <w:r w:rsidR="006227B3">
        <w:rPr>
          <w:rFonts w:cstheme="minorHAnsi"/>
        </w:rPr>
        <w:t xml:space="preserve">equivalent to </w:t>
      </w:r>
      <w:r w:rsidR="006227B3" w:rsidRPr="00145966">
        <w:rPr>
          <w:rFonts w:cstheme="minorHAnsi"/>
        </w:rPr>
        <w:t>between 0.01% and 1.38%</w:t>
      </w:r>
      <w:r w:rsidR="006227B3">
        <w:rPr>
          <w:rFonts w:cstheme="minorHAnsi"/>
        </w:rPr>
        <w:t xml:space="preserve"> (</w:t>
      </w:r>
      <w:r w:rsidR="008247D6" w:rsidRPr="00145966">
        <w:rPr>
          <w:rFonts w:cstheme="minorHAnsi"/>
        </w:rPr>
        <w:t xml:space="preserve">average </w:t>
      </w:r>
      <w:r w:rsidR="004C62AD" w:rsidRPr="00145966">
        <w:rPr>
          <w:rFonts w:cstheme="minorHAnsi"/>
        </w:rPr>
        <w:t>0.6</w:t>
      </w:r>
      <w:r w:rsidR="00E10D66" w:rsidRPr="00145966">
        <w:rPr>
          <w:rFonts w:cstheme="minorHAnsi"/>
        </w:rPr>
        <w:t>%</w:t>
      </w:r>
      <w:r w:rsidR="006227B3">
        <w:rPr>
          <w:rFonts w:cstheme="minorHAnsi"/>
        </w:rPr>
        <w:t>)</w:t>
      </w:r>
      <w:r w:rsidR="004C62AD" w:rsidRPr="00145966">
        <w:rPr>
          <w:rFonts w:cstheme="minorHAnsi"/>
        </w:rPr>
        <w:t xml:space="preserve"> of the </w:t>
      </w:r>
      <w:r w:rsidR="006227B3">
        <w:rPr>
          <w:rFonts w:cstheme="minorHAnsi"/>
        </w:rPr>
        <w:t>maximum flood volume</w:t>
      </w:r>
      <w:r w:rsidR="006227B3" w:rsidRPr="006227B3">
        <w:rPr>
          <w:rFonts w:cstheme="minorHAnsi"/>
        </w:rPr>
        <w:t xml:space="preserve"> </w:t>
      </w:r>
      <w:r w:rsidR="006227B3">
        <w:rPr>
          <w:rFonts w:cstheme="minorHAnsi"/>
        </w:rPr>
        <w:t>in 2013/14</w:t>
      </w:r>
      <w:r w:rsidR="00E10D66" w:rsidRPr="00145966">
        <w:rPr>
          <w:rFonts w:cstheme="minorHAnsi"/>
        </w:rPr>
        <w:t xml:space="preserve">, </w:t>
      </w:r>
      <w:r w:rsidR="006227B3">
        <w:t>or an increase in flood level of between 0.03 and 1.2 cm</w:t>
      </w:r>
      <w:r w:rsidR="004C62AD" w:rsidRPr="00145966">
        <w:rPr>
          <w:rFonts w:cstheme="minorHAnsi"/>
        </w:rPr>
        <w:t xml:space="preserve">. </w:t>
      </w:r>
      <w:r w:rsidR="006227B3">
        <w:rPr>
          <w:rFonts w:cstheme="minorHAnsi"/>
        </w:rPr>
        <w:t xml:space="preserve"> </w:t>
      </w:r>
      <w:r w:rsidR="00F01CA9" w:rsidRPr="00145966">
        <w:rPr>
          <w:rFonts w:cstheme="minorHAnsi"/>
        </w:rPr>
        <w:t xml:space="preserve">The volume occupied by the agricultural pen volume in summer </w:t>
      </w:r>
      <w:r w:rsidR="006227B3">
        <w:rPr>
          <w:rFonts w:cstheme="minorHAnsi"/>
        </w:rPr>
        <w:t>ranged from 1% to</w:t>
      </w:r>
      <w:r w:rsidR="006227B3" w:rsidRPr="00145966">
        <w:rPr>
          <w:rFonts w:cstheme="minorHAnsi"/>
        </w:rPr>
        <w:t xml:space="preserve"> 14.6</w:t>
      </w:r>
      <w:r w:rsidR="006227B3">
        <w:rPr>
          <w:rFonts w:cstheme="minorHAnsi"/>
        </w:rPr>
        <w:t>% (</w:t>
      </w:r>
      <w:r w:rsidR="00640373">
        <w:rPr>
          <w:rFonts w:cstheme="minorHAnsi"/>
        </w:rPr>
        <w:t>average 3.6%</w:t>
      </w:r>
      <w:r w:rsidR="006227B3">
        <w:rPr>
          <w:rFonts w:cstheme="minorHAnsi"/>
        </w:rPr>
        <w:t>)</w:t>
      </w:r>
      <w:r w:rsidR="00145966" w:rsidRPr="00145966">
        <w:rPr>
          <w:rFonts w:cstheme="minorHAnsi"/>
        </w:rPr>
        <w:t xml:space="preserve"> of </w:t>
      </w:r>
      <w:r w:rsidR="00640373">
        <w:rPr>
          <w:rFonts w:cstheme="minorHAnsi"/>
        </w:rPr>
        <w:t xml:space="preserve">the </w:t>
      </w:r>
      <w:r w:rsidR="006227B3">
        <w:rPr>
          <w:rFonts w:cstheme="minorHAnsi"/>
        </w:rPr>
        <w:t>maximum flood volume in 2013/14</w:t>
      </w:r>
      <w:r w:rsidR="00640373">
        <w:rPr>
          <w:rFonts w:cstheme="minorHAnsi"/>
        </w:rPr>
        <w:t xml:space="preserve">, </w:t>
      </w:r>
      <w:r w:rsidR="006227B3">
        <w:t xml:space="preserve">or an increase in flood level of between 2.1 and 6.2 cm. </w:t>
      </w:r>
    </w:p>
    <w:p w:rsidR="004C62AD" w:rsidRDefault="008247D6" w:rsidP="00994CB4">
      <w:pPr>
        <w:jc w:val="both"/>
      </w:pPr>
      <w:r>
        <w:lastRenderedPageBreak/>
        <w:t xml:space="preserve">For less severe flooding, where </w:t>
      </w:r>
      <w:r w:rsidR="00EA6C18">
        <w:t xml:space="preserve">the </w:t>
      </w:r>
      <w:r>
        <w:t>flood level reaches the lowest road in an area, the RWLA volume equates to between 0.1 and 6.1% (average 2.5%) of t</w:t>
      </w:r>
      <w:bookmarkStart w:id="16" w:name="_GoBack"/>
      <w:bookmarkEnd w:id="16"/>
      <w:r>
        <w:t>he flood volume, or an increase in flood level of between 0.08 and 2.3 cm.</w:t>
      </w:r>
      <w:r w:rsidR="004C62AD">
        <w:t xml:space="preserve"> </w:t>
      </w:r>
      <w:r>
        <w:t>For the agricultural pen volume in summer, this increases to between 3.9 and 20% (average 10.1%) of the flood volume,</w:t>
      </w:r>
      <w:r w:rsidRPr="00BA0DB4">
        <w:t xml:space="preserve"> </w:t>
      </w:r>
      <w:r>
        <w:t>or an increase in flood level of between 2.7 and 6.</w:t>
      </w:r>
      <w:r w:rsidR="006227B3">
        <w:t>6</w:t>
      </w:r>
      <w:r>
        <w:t xml:space="preserve"> cm.</w:t>
      </w:r>
      <w:r w:rsidR="004C62AD">
        <w:t xml:space="preserve"> </w:t>
      </w:r>
    </w:p>
    <w:p w:rsidR="00A12A41" w:rsidRDefault="00A12A41" w:rsidP="00A12A41">
      <w:pPr>
        <w:jc w:val="both"/>
      </w:pPr>
      <w:r>
        <w:t xml:space="preserve">For the six pump drained catchments that experienced severe flooding in winter 2014,  calculations suggest it would take between 0.05 hours and 5.47 hours (average 3.5 hours) to evacuate the volume occupied by RWLA using the permanent pumping station capacity.  This increases to between 7.1 and 25.1 hours (average 15.2 hours) for the volume occupied by the agricultural pen level in summer. </w:t>
      </w:r>
    </w:p>
    <w:p w:rsidR="000536D2" w:rsidRPr="008F25D4" w:rsidRDefault="007251AE" w:rsidP="00994CB4">
      <w:pPr>
        <w:jc w:val="both"/>
        <w:rPr>
          <w:rFonts w:cstheme="minorHAnsi"/>
        </w:rPr>
      </w:pPr>
      <w:r>
        <w:t xml:space="preserve">In conclusion this assessment finds that in relation to the volumes of water that were present </w:t>
      </w:r>
      <w:r w:rsidR="00A90AAD">
        <w:t>during</w:t>
      </w:r>
      <w:r>
        <w:t xml:space="preserve"> the winter </w:t>
      </w:r>
      <w:r w:rsidR="00F01CA9">
        <w:t>20</w:t>
      </w:r>
      <w:r>
        <w:t>13/</w:t>
      </w:r>
      <w:r w:rsidR="00F01CA9">
        <w:t>20</w:t>
      </w:r>
      <w:r>
        <w:t>14 floods</w:t>
      </w:r>
      <w:r w:rsidR="0068426C">
        <w:t>,</w:t>
      </w:r>
      <w:r w:rsidR="00F5491A">
        <w:t xml:space="preserve"> the </w:t>
      </w:r>
      <w:r w:rsidR="00F01CA9">
        <w:t>volume of water occupied by RWLA and subsequent reduction in</w:t>
      </w:r>
      <w:r w:rsidR="00BB088B">
        <w:t xml:space="preserve"> ditch</w:t>
      </w:r>
      <w:r w:rsidR="00F5491A">
        <w:t xml:space="preserve"> storage </w:t>
      </w:r>
      <w:r w:rsidR="0068426C">
        <w:t>capacity</w:t>
      </w:r>
      <w:r w:rsidR="00F5491A">
        <w:t xml:space="preserve"> represents a </w:t>
      </w:r>
      <w:r w:rsidR="00F01CA9">
        <w:t xml:space="preserve">very </w:t>
      </w:r>
      <w:r w:rsidR="00F5491A">
        <w:t xml:space="preserve">small fraction of the total. </w:t>
      </w:r>
      <w:r w:rsidR="003C0290">
        <w:t xml:space="preserve">Expressed both as a proportion of the theoretical maximum </w:t>
      </w:r>
      <w:r w:rsidR="00BB088B">
        <w:t xml:space="preserve">ditch </w:t>
      </w:r>
      <w:r w:rsidR="003C0290">
        <w:t xml:space="preserve">storage and as a reduction in flood level, the calculations presented here indicate that the areas managed with raised water levels </w:t>
      </w:r>
      <w:r w:rsidR="008E6314">
        <w:t>have only a very minor impact on large flood event</w:t>
      </w:r>
      <w:r w:rsidR="00A90AAD">
        <w:t>s</w:t>
      </w:r>
      <w:r w:rsidR="008E6314">
        <w:t xml:space="preserve">. </w:t>
      </w:r>
      <w:r w:rsidR="008F25D4">
        <w:t xml:space="preserve"> </w:t>
      </w:r>
      <w:r w:rsidR="008F25D4" w:rsidRPr="008F25D4">
        <w:rPr>
          <w:rFonts w:cstheme="minorHAnsi"/>
        </w:rPr>
        <w:t>Water levels for agriculture in summer occupy larger volumes, but these are still small compared to volumes of water stored on the moors during major flood events.</w:t>
      </w:r>
    </w:p>
    <w:p w:rsidR="008F25D4" w:rsidRPr="00E32369" w:rsidRDefault="00F20542" w:rsidP="008F25D4">
      <w:pPr>
        <w:jc w:val="both"/>
        <w:rPr>
          <w:rFonts w:cs="Arial"/>
          <w:b/>
        </w:rPr>
      </w:pPr>
      <w:r>
        <w:br w:type="page"/>
      </w:r>
    </w:p>
    <w:p w:rsidR="00F20542" w:rsidRDefault="00F20542" w:rsidP="00994CB4">
      <w:pPr>
        <w:jc w:val="both"/>
      </w:pPr>
    </w:p>
    <w:p w:rsidR="00E8359D" w:rsidRPr="00E8359D" w:rsidRDefault="00E8359D" w:rsidP="00E64E5A">
      <w:pPr>
        <w:pStyle w:val="Heading2"/>
      </w:pPr>
      <w:bookmarkStart w:id="17" w:name="_Toc402956183"/>
      <w:r>
        <w:t>References</w:t>
      </w:r>
      <w:bookmarkEnd w:id="17"/>
    </w:p>
    <w:p w:rsidR="00B76E3D" w:rsidRPr="004008FC" w:rsidRDefault="00B76E3D" w:rsidP="004008FC">
      <w:pPr>
        <w:jc w:val="both"/>
      </w:pPr>
    </w:p>
    <w:p w:rsidR="00815890" w:rsidRPr="004008FC" w:rsidRDefault="00815890" w:rsidP="004008FC">
      <w:pPr>
        <w:jc w:val="both"/>
      </w:pPr>
      <w:r w:rsidRPr="004008FC">
        <w:t>Acreman, M.C., Mountford, J.O., McCartney, M.P., Wadsworth, R.A., Swetnam, R.D., McNeil, D.D., Manchester, S.J., Myhill, D.G., Broughton, R.K. 2002</w:t>
      </w:r>
      <w:r w:rsidR="004008FC">
        <w:t>.</w:t>
      </w:r>
      <w:r w:rsidRPr="004008FC">
        <w:t xml:space="preserve"> </w:t>
      </w:r>
      <w:r w:rsidRPr="004008FC">
        <w:rPr>
          <w:i/>
          <w:iCs/>
        </w:rPr>
        <w:t>Integrating wetland management, catchment hydrology and ecosystem functions</w:t>
      </w:r>
      <w:r w:rsidRPr="004008FC">
        <w:t>. Final report of the CEH Integrating Fund Round 5. CEH Wallingford.</w:t>
      </w:r>
    </w:p>
    <w:p w:rsidR="00C96E1F" w:rsidRPr="004008FC" w:rsidRDefault="00C96E1F" w:rsidP="004008FC">
      <w:pPr>
        <w:jc w:val="both"/>
      </w:pPr>
      <w:r w:rsidRPr="004008FC">
        <w:t xml:space="preserve">Acreman, M.C., Fisher, J., Stratford, C.J., Mould, D.J. and Mountford, J.O. 2007. Hydrological science and wetland restoration: some case studies from Europe. </w:t>
      </w:r>
      <w:r w:rsidRPr="004008FC">
        <w:rPr>
          <w:i/>
        </w:rPr>
        <w:t>Hydrology and Earth System Science</w:t>
      </w:r>
      <w:r w:rsidRPr="004008FC">
        <w:t xml:space="preserve">. 11(1), 158-169. </w:t>
      </w:r>
    </w:p>
    <w:p w:rsidR="00E9687A" w:rsidRPr="004008FC" w:rsidRDefault="00E9687A" w:rsidP="004008FC">
      <w:pPr>
        <w:jc w:val="both"/>
        <w:rPr>
          <w:rFonts w:cs="Times-Roman"/>
        </w:rPr>
      </w:pPr>
      <w:r w:rsidRPr="004008FC">
        <w:rPr>
          <w:rFonts w:cs="Times-Roman"/>
        </w:rPr>
        <w:t>Acreman, M.C. (ed) 2005</w:t>
      </w:r>
      <w:r w:rsidR="004008FC">
        <w:rPr>
          <w:rFonts w:cs="Times-Roman"/>
        </w:rPr>
        <w:t>.</w:t>
      </w:r>
      <w:r w:rsidRPr="004008FC">
        <w:rPr>
          <w:rFonts w:cs="Times-Roman"/>
        </w:rPr>
        <w:t xml:space="preserve"> Impact assessment of wetlands: focus on hydrological and hydrogeological issues. Phase 2 report. Environment Agency, Bristol (W6-091) and Centre for Ecology and Hydrology, Wallingford (C01996)</w:t>
      </w:r>
    </w:p>
    <w:p w:rsidR="00E8359D" w:rsidRPr="004008FC" w:rsidRDefault="000F275C" w:rsidP="004008FC">
      <w:pPr>
        <w:jc w:val="both"/>
      </w:pPr>
      <w:r w:rsidRPr="004008FC">
        <w:t xml:space="preserve">Armstrong, A.C. 1993. Modelling the response of in-field water tables to ditch levels imposed for ecological aims: a theoretical analysis. </w:t>
      </w:r>
      <w:r w:rsidRPr="004008FC">
        <w:rPr>
          <w:i/>
        </w:rPr>
        <w:t>Agriculture, Ecosystems and Environment</w:t>
      </w:r>
      <w:r w:rsidRPr="004008FC">
        <w:t xml:space="preserve">. 43, 345-351. </w:t>
      </w:r>
    </w:p>
    <w:p w:rsidR="002E6AB6" w:rsidRPr="004008FC" w:rsidRDefault="002E6AB6" w:rsidP="004008FC">
      <w:pPr>
        <w:jc w:val="both"/>
      </w:pPr>
      <w:r w:rsidRPr="004008FC">
        <w:t xml:space="preserve">Armstrong, A.C. and Rose, S. 1999. Ditch water levels managed for environmental aims: effects of soil water regimes. </w:t>
      </w:r>
      <w:r w:rsidRPr="004008FC">
        <w:rPr>
          <w:i/>
        </w:rPr>
        <w:t>Hydrology and Earth System Sciences</w:t>
      </w:r>
      <w:r w:rsidRPr="004008FC">
        <w:t xml:space="preserve">, 3(3), 385-394. </w:t>
      </w:r>
    </w:p>
    <w:p w:rsidR="004008FC" w:rsidRPr="004008FC" w:rsidRDefault="004008FC" w:rsidP="004008FC">
      <w:pPr>
        <w:jc w:val="both"/>
        <w:rPr>
          <w:rFonts w:cs="AdvTT94666391"/>
        </w:rPr>
      </w:pPr>
      <w:r w:rsidRPr="004008FC">
        <w:rPr>
          <w:rFonts w:cs="AdvTT94666391"/>
        </w:rPr>
        <w:t>Baird and Gaffney. 2000. Solute movement in drained fen peat: a field tracer study in a Somerset (UK) wetland. Hydrological Processes. 14. 2489-2503.</w:t>
      </w:r>
    </w:p>
    <w:p w:rsidR="005A3BE3" w:rsidRPr="004008FC" w:rsidRDefault="005A3BE3" w:rsidP="004008FC">
      <w:pPr>
        <w:jc w:val="both"/>
        <w:rPr>
          <w:kern w:val="36"/>
        </w:rPr>
      </w:pPr>
      <w:r w:rsidRPr="004008FC">
        <w:t>Beavan, R.P., Powrie, W. and Zardava, K. 2008. Hydraulic properties of MSW. In Zekkos, D. (Ed). Geotechnical characterisation, field measurement and laboratory testing of</w:t>
      </w:r>
      <w:r w:rsidRPr="004008FC">
        <w:rPr>
          <w:kern w:val="36"/>
        </w:rPr>
        <w:t xml:space="preserve"> Municipal Solid Waste: Proceedings of the 2008 International Symposium on Waste Mechanics, March 13, 2008, New Orleans, Louisiana. </w:t>
      </w:r>
    </w:p>
    <w:p w:rsidR="002C38AB" w:rsidRPr="004008FC" w:rsidRDefault="002C38AB" w:rsidP="004008FC">
      <w:pPr>
        <w:jc w:val="both"/>
        <w:rPr>
          <w:rFonts w:eastAsia="Times New Roman" w:cs="Courier New"/>
        </w:rPr>
      </w:pPr>
      <w:r w:rsidRPr="004008FC">
        <w:rPr>
          <w:rFonts w:eastAsia="Times New Roman" w:cs="Courier New"/>
        </w:rPr>
        <w:t>Belding , E., Rycroft, D.W. and Trafford, B.D</w:t>
      </w:r>
      <w:r w:rsidR="004008FC">
        <w:rPr>
          <w:rFonts w:eastAsia="Times New Roman" w:cs="Courier New"/>
        </w:rPr>
        <w:t>. 1975.</w:t>
      </w:r>
      <w:r w:rsidRPr="004008FC">
        <w:t xml:space="preserve"> The drainage of peat soils, </w:t>
      </w:r>
      <w:r w:rsidRPr="004008FC">
        <w:rPr>
          <w:rFonts w:eastAsia="Times New Roman" w:cs="Courier New"/>
        </w:rPr>
        <w:t xml:space="preserve">ADAS </w:t>
      </w:r>
      <w:r w:rsidRPr="004008FC">
        <w:rPr>
          <w:rFonts w:eastAsia="Times New Roman" w:cs="Times New Roman"/>
        </w:rPr>
        <w:t xml:space="preserve">Field </w:t>
      </w:r>
      <w:r w:rsidRPr="004008FC">
        <w:rPr>
          <w:rFonts w:eastAsia="Times New Roman" w:cs="Courier New"/>
        </w:rPr>
        <w:t>Drainage Exp. Unit Tech. Bull 75/2.</w:t>
      </w:r>
    </w:p>
    <w:p w:rsidR="005A3BE3" w:rsidRPr="004008FC" w:rsidRDefault="005A3BE3" w:rsidP="004008FC">
      <w:pPr>
        <w:jc w:val="both"/>
      </w:pPr>
      <w:r w:rsidRPr="004008FC">
        <w:t xml:space="preserve">Boelter, D.H. 1964. Water storage characteristics of several peats </w:t>
      </w:r>
      <w:r w:rsidRPr="004008FC">
        <w:rPr>
          <w:i/>
        </w:rPr>
        <w:t>in situ</w:t>
      </w:r>
      <w:r w:rsidRPr="004008FC">
        <w:t xml:space="preserve">. </w:t>
      </w:r>
      <w:r w:rsidRPr="004008FC">
        <w:rPr>
          <w:i/>
        </w:rPr>
        <w:t xml:space="preserve">Soil Sci. Soc. Am. Proc., </w:t>
      </w:r>
      <w:r w:rsidR="003222ED" w:rsidRPr="004008FC">
        <w:t xml:space="preserve">28. 433-435. </w:t>
      </w:r>
    </w:p>
    <w:p w:rsidR="002C38AB" w:rsidRPr="004008FC" w:rsidRDefault="002C38AB" w:rsidP="004008FC">
      <w:pPr>
        <w:jc w:val="both"/>
        <w:rPr>
          <w:rFonts w:eastAsia="Times New Roman" w:cs="Arial"/>
        </w:rPr>
      </w:pPr>
      <w:r w:rsidRPr="004008FC">
        <w:rPr>
          <w:rFonts w:eastAsia="Times New Roman" w:cs="Arial"/>
        </w:rPr>
        <w:t>B</w:t>
      </w:r>
      <w:r w:rsidR="004008FC">
        <w:rPr>
          <w:rFonts w:eastAsia="Times New Roman" w:cs="Arial"/>
        </w:rPr>
        <w:t>oelter</w:t>
      </w:r>
      <w:r w:rsidRPr="004008FC">
        <w:rPr>
          <w:rFonts w:eastAsia="Times New Roman" w:cs="Arial"/>
        </w:rPr>
        <w:t>, D. H. 1965. Hydraulic conductivity of peats. Soil Sci. 100:227-231.</w:t>
      </w:r>
    </w:p>
    <w:p w:rsidR="00EE11D7" w:rsidRPr="004008FC" w:rsidRDefault="00EE11D7" w:rsidP="004008FC">
      <w:pPr>
        <w:jc w:val="both"/>
      </w:pPr>
      <w:r w:rsidRPr="004008FC">
        <w:t xml:space="preserve">Boelter, D.H. 1968. Important physical properties of peat materials. </w:t>
      </w:r>
      <w:r w:rsidRPr="004008FC">
        <w:rPr>
          <w:i/>
          <w:iCs/>
        </w:rPr>
        <w:t>Proceedings of the 3rd International Peat Congress, Quebec:</w:t>
      </w:r>
      <w:r w:rsidRPr="004008FC">
        <w:t xml:space="preserve"> 150-156.</w:t>
      </w:r>
    </w:p>
    <w:p w:rsidR="00702E03" w:rsidRPr="004008FC" w:rsidRDefault="00702E03" w:rsidP="004008FC">
      <w:pPr>
        <w:jc w:val="both"/>
        <w:rPr>
          <w:rFonts w:eastAsia="Times New Roman" w:cs="Times New Roman"/>
        </w:rPr>
      </w:pPr>
      <w:r w:rsidRPr="004008FC">
        <w:rPr>
          <w:rFonts w:eastAsia="Times New Roman" w:cs="Times New Roman"/>
        </w:rPr>
        <w:t>Boelter, D. H. 1972. Water table drawdown around an open ditch in organic soils. Journal of Hydrology 15: 329-340.</w:t>
      </w:r>
    </w:p>
    <w:p w:rsidR="002C38AB" w:rsidRPr="004008FC" w:rsidRDefault="002C38AB" w:rsidP="004008FC">
      <w:pPr>
        <w:jc w:val="both"/>
      </w:pPr>
      <w:r w:rsidRPr="004008FC">
        <w:t xml:space="preserve">Bradford, R. 2004. CEH IF Project C01795: Tadham Moor Regional Hydrological Modelling. Project Note on Trial Application of ESI Groundwater Vistas (GWV) v3. CEH Internal Report. </w:t>
      </w:r>
    </w:p>
    <w:p w:rsidR="004008FC" w:rsidRPr="004008FC" w:rsidRDefault="004008FC" w:rsidP="004008FC">
      <w:pPr>
        <w:jc w:val="both"/>
        <w:rPr>
          <w:rFonts w:cs="AdvTT94666391"/>
        </w:rPr>
      </w:pPr>
      <w:r w:rsidRPr="004008FC">
        <w:rPr>
          <w:rFonts w:cs="AdvTT94666391"/>
        </w:rPr>
        <w:lastRenderedPageBreak/>
        <w:t>Bromley, J., Robinson, M. and Barker, J.A. 2004. Scale-dependency of hydraulic conductivity: an example from Thorne Moor, a raised mire in South Yorkshire, UK. Hydrological Processes. 18, 973-985.</w:t>
      </w:r>
    </w:p>
    <w:p w:rsidR="00702E03" w:rsidRPr="004008FC" w:rsidRDefault="00702E03" w:rsidP="004008FC">
      <w:pPr>
        <w:jc w:val="both"/>
      </w:pPr>
      <w:r w:rsidRPr="004008FC">
        <w:t xml:space="preserve">Burke, W. 1961. Drainage investigation on bogland: the effect of drain spacing on groundwater levels. </w:t>
      </w:r>
      <w:r w:rsidRPr="004008FC">
        <w:rPr>
          <w:i/>
        </w:rPr>
        <w:t xml:space="preserve">Irish J. Agric. Res. </w:t>
      </w:r>
      <w:r w:rsidRPr="004008FC">
        <w:t xml:space="preserve">1, 31-34. </w:t>
      </w:r>
    </w:p>
    <w:p w:rsidR="003222ED" w:rsidRPr="004008FC" w:rsidRDefault="004008FC" w:rsidP="004008FC">
      <w:pPr>
        <w:jc w:val="both"/>
        <w:rPr>
          <w:rFonts w:eastAsia="Times New Roman" w:cs="Arial"/>
        </w:rPr>
      </w:pPr>
      <w:r>
        <w:rPr>
          <w:rFonts w:eastAsia="Times New Roman" w:cs="Arial"/>
        </w:rPr>
        <w:t>Burton RGO and Hodgson JM 1987</w:t>
      </w:r>
      <w:r w:rsidR="004B2BEF" w:rsidRPr="004008FC">
        <w:rPr>
          <w:rFonts w:eastAsia="Times New Roman" w:cs="Arial"/>
        </w:rPr>
        <w:t xml:space="preserve">. Lowland Peat in England and Wales. Soil Survey Special Survey No. 15. Soil Survey of England and Wales, Harpenden </w:t>
      </w:r>
    </w:p>
    <w:p w:rsidR="00E338E6" w:rsidRPr="004008FC" w:rsidRDefault="00E338E6" w:rsidP="004008FC">
      <w:pPr>
        <w:jc w:val="both"/>
        <w:rPr>
          <w:rFonts w:cs="AdvTT94666391"/>
        </w:rPr>
      </w:pPr>
      <w:r w:rsidRPr="004008FC">
        <w:rPr>
          <w:rFonts w:cs="AdvTT94666391"/>
        </w:rPr>
        <w:t xml:space="preserve">Clymo, R.S. </w:t>
      </w:r>
      <w:r w:rsidR="001E1EB5">
        <w:rPr>
          <w:rFonts w:cs="AdvTT94666391"/>
        </w:rPr>
        <w:t xml:space="preserve">2004. </w:t>
      </w:r>
      <w:r w:rsidRPr="004008FC">
        <w:rPr>
          <w:rFonts w:cs="AdvTT94666391"/>
        </w:rPr>
        <w:t>Hydraulic conductivity of peat at Ellergower Moss, Scotland. Hydrological Processes. 18. 261-274.</w:t>
      </w:r>
    </w:p>
    <w:p w:rsidR="00AF13AC" w:rsidRPr="004008FC" w:rsidRDefault="00AF13AC" w:rsidP="004008FC">
      <w:pPr>
        <w:jc w:val="both"/>
        <w:rPr>
          <w:rFonts w:eastAsia="Times New Roman" w:cs="Courier New"/>
        </w:rPr>
      </w:pPr>
      <w:r w:rsidRPr="004008FC">
        <w:rPr>
          <w:rFonts w:eastAsia="Times New Roman" w:cs="Courier New"/>
        </w:rPr>
        <w:t xml:space="preserve">Dawson, Q. 2006. Low-lying agricultural peatland sustainability under managed water regimes. Cranfield University. PhD Thesis. </w:t>
      </w:r>
    </w:p>
    <w:p w:rsidR="00515D66" w:rsidRPr="004008FC" w:rsidRDefault="003222ED" w:rsidP="004008FC">
      <w:pPr>
        <w:jc w:val="both"/>
        <w:rPr>
          <w:rFonts w:eastAsia="Times New Roman" w:cs="Courier New"/>
        </w:rPr>
      </w:pPr>
      <w:r w:rsidRPr="004008FC">
        <w:rPr>
          <w:rFonts w:eastAsia="Times New Roman" w:cs="Courier New"/>
        </w:rPr>
        <w:t xml:space="preserve">Egglesmann, R. </w:t>
      </w:r>
      <w:r w:rsidR="00515D66" w:rsidRPr="004008FC">
        <w:rPr>
          <w:rFonts w:eastAsia="Times New Roman" w:cs="Courier New"/>
        </w:rPr>
        <w:t xml:space="preserve">1972. </w:t>
      </w:r>
      <w:r w:rsidRPr="004008FC">
        <w:rPr>
          <w:rFonts w:eastAsia="Times New Roman" w:cs="Courier New"/>
        </w:rPr>
        <w:t xml:space="preserve">Physical effects of drainage in peat soils of the temperate zone and their forecasting. </w:t>
      </w:r>
      <w:r w:rsidR="00515D66" w:rsidRPr="004008FC">
        <w:rPr>
          <w:rFonts w:eastAsia="Times New Roman" w:cs="Courier New"/>
          <w:i/>
        </w:rPr>
        <w:t xml:space="preserve">Int. Assoc. Hydrol. Sci. Publ. </w:t>
      </w:r>
      <w:r w:rsidR="00515D66" w:rsidRPr="004008FC">
        <w:rPr>
          <w:rFonts w:eastAsia="Times New Roman" w:cs="Courier New"/>
        </w:rPr>
        <w:t xml:space="preserve">105, 69-77. </w:t>
      </w:r>
    </w:p>
    <w:p w:rsidR="00E8359D" w:rsidRPr="004008FC" w:rsidRDefault="00E8359D" w:rsidP="004008FC">
      <w:pPr>
        <w:jc w:val="both"/>
      </w:pPr>
      <w:r w:rsidRPr="004008FC">
        <w:t>Falconer, R. A., Goodwin, P., &amp; Institution of Civil E</w:t>
      </w:r>
      <w:r w:rsidR="004008FC">
        <w:t>ngineers (Great Britain). 1994</w:t>
      </w:r>
      <w:r w:rsidRPr="004008FC">
        <w:t>. Wetland management: Proceedings of the international conference organized by the Institution of Civil Engineers and held in London on 2-3 June 1994. London: Thomas Telford.</w:t>
      </w:r>
    </w:p>
    <w:p w:rsidR="005A3BE3" w:rsidRPr="004008FC" w:rsidRDefault="004008FC" w:rsidP="004008FC">
      <w:pPr>
        <w:jc w:val="both"/>
        <w:rPr>
          <w:rFonts w:cs="Segoe UI"/>
        </w:rPr>
      </w:pPr>
      <w:r>
        <w:rPr>
          <w:rFonts w:cs="Segoe UI"/>
        </w:rPr>
        <w:t xml:space="preserve">Fetter, C. W. </w:t>
      </w:r>
      <w:r w:rsidR="005A3BE3" w:rsidRPr="004008FC">
        <w:rPr>
          <w:rFonts w:cs="Segoe UI"/>
        </w:rPr>
        <w:t>1994. Applied Hydrogeology, Prentice Hall.</w:t>
      </w:r>
    </w:p>
    <w:p w:rsidR="003222ED" w:rsidRPr="004008FC" w:rsidRDefault="004008FC" w:rsidP="004008FC">
      <w:pPr>
        <w:jc w:val="both"/>
        <w:rPr>
          <w:rFonts w:cs="Segoe UI"/>
        </w:rPr>
      </w:pPr>
      <w:r>
        <w:rPr>
          <w:rFonts w:cs="Segoe UI"/>
        </w:rPr>
        <w:t>Gilman, K. 1994</w:t>
      </w:r>
      <w:r w:rsidR="003222ED" w:rsidRPr="004008FC">
        <w:rPr>
          <w:rFonts w:cs="Segoe UI"/>
        </w:rPr>
        <w:t>. Hydrology and wetland conservation, Wiley.</w:t>
      </w:r>
    </w:p>
    <w:p w:rsidR="005A3BE3" w:rsidRPr="004008FC" w:rsidRDefault="004008FC" w:rsidP="004008FC">
      <w:pPr>
        <w:jc w:val="both"/>
        <w:rPr>
          <w:rFonts w:cs="Segoe UI"/>
        </w:rPr>
      </w:pPr>
      <w:r>
        <w:rPr>
          <w:rFonts w:cs="Segoe UI"/>
        </w:rPr>
        <w:t>Hillel, D. 1998</w:t>
      </w:r>
      <w:r w:rsidR="005A3BE3" w:rsidRPr="004008FC">
        <w:rPr>
          <w:rFonts w:cs="Segoe UI"/>
        </w:rPr>
        <w:t>. Environmental Soil Physics: Fundamentals, Applications, and Environmental Considerations, Elsevier Science.</w:t>
      </w:r>
    </w:p>
    <w:p w:rsidR="003222ED" w:rsidRPr="004008FC" w:rsidRDefault="003222ED" w:rsidP="004008FC">
      <w:pPr>
        <w:jc w:val="both"/>
        <w:rPr>
          <w:rFonts w:cs="Segoe UI"/>
        </w:rPr>
      </w:pPr>
      <w:r w:rsidRPr="004008FC">
        <w:rPr>
          <w:rStyle w:val="personname"/>
        </w:rPr>
        <w:t>Holden, J.</w:t>
      </w:r>
      <w:r w:rsidRPr="004008FC">
        <w:t xml:space="preserve">, </w:t>
      </w:r>
      <w:r w:rsidRPr="004008FC">
        <w:rPr>
          <w:rStyle w:val="personname"/>
        </w:rPr>
        <w:t>Chapman, P.J.</w:t>
      </w:r>
      <w:r w:rsidRPr="004008FC">
        <w:t xml:space="preserve"> and </w:t>
      </w:r>
      <w:r w:rsidRPr="004008FC">
        <w:rPr>
          <w:rStyle w:val="personname"/>
        </w:rPr>
        <w:t>Labadz, J.C.</w:t>
      </w:r>
      <w:r w:rsidR="004008FC">
        <w:t xml:space="preserve"> </w:t>
      </w:r>
      <w:r w:rsidRPr="004008FC">
        <w:t>2004</w:t>
      </w:r>
      <w:r w:rsidR="004008FC">
        <w:t>.</w:t>
      </w:r>
      <w:r w:rsidRPr="004008FC">
        <w:t xml:space="preserve"> </w:t>
      </w:r>
      <w:r w:rsidRPr="004008FC">
        <w:rPr>
          <w:rStyle w:val="Emphasis"/>
        </w:rPr>
        <w:t>Artificial drainage of peatlands: hydrological and hydrochemical process and wetland restoration.</w:t>
      </w:r>
      <w:r w:rsidRPr="004008FC">
        <w:t xml:space="preserve"> Progress in Physical Geography, 28 (1). pp. 95-123. ISSN 0309-1333</w:t>
      </w:r>
    </w:p>
    <w:p w:rsidR="00E9687A" w:rsidRPr="004008FC" w:rsidRDefault="004008FC" w:rsidP="004008FC">
      <w:pPr>
        <w:jc w:val="both"/>
      </w:pPr>
      <w:r>
        <w:t>Holden, J. 2005</w:t>
      </w:r>
      <w:r w:rsidR="00E9687A" w:rsidRPr="004008FC">
        <w:t xml:space="preserve">. "Peatland hydrology and carbon release: why small-scale process matters." Philosophical Transactions of the Royal Society A: Mathematical, Physical and Engineering Sciences </w:t>
      </w:r>
      <w:r w:rsidR="00E9687A" w:rsidRPr="004008FC">
        <w:rPr>
          <w:bCs/>
        </w:rPr>
        <w:t>363</w:t>
      </w:r>
      <w:r w:rsidR="00E9687A" w:rsidRPr="004008FC">
        <w:t>(1837): 2891-2913.</w:t>
      </w:r>
    </w:p>
    <w:p w:rsidR="00E8359D" w:rsidRPr="004008FC" w:rsidRDefault="005A3BE3" w:rsidP="004008FC">
      <w:pPr>
        <w:jc w:val="both"/>
        <w:rPr>
          <w:rFonts w:cs="AdvP43534B"/>
        </w:rPr>
      </w:pPr>
      <w:r w:rsidRPr="004008FC">
        <w:rPr>
          <w:rFonts w:cs="AdvP43534B"/>
        </w:rPr>
        <w:t>Ivanov, K. E. 1948</w:t>
      </w:r>
      <w:r w:rsidR="004008FC">
        <w:rPr>
          <w:rFonts w:cs="AdvP43534B"/>
        </w:rPr>
        <w:t>.</w:t>
      </w:r>
      <w:r w:rsidRPr="004008FC">
        <w:rPr>
          <w:rFonts w:cs="AdvP43534B"/>
        </w:rPr>
        <w:t xml:space="preserve"> Filtration in the top layer of convex mire massifs. </w:t>
      </w:r>
      <w:r w:rsidRPr="004008FC">
        <w:rPr>
          <w:rFonts w:cs="AdvP4B5F50"/>
        </w:rPr>
        <w:t xml:space="preserve">Meteorol. Gidrol. </w:t>
      </w:r>
      <w:r w:rsidRPr="004008FC">
        <w:rPr>
          <w:rFonts w:cs="AdvP4818C4"/>
        </w:rPr>
        <w:t>2</w:t>
      </w:r>
      <w:r w:rsidRPr="004008FC">
        <w:rPr>
          <w:rFonts w:cs="AdvP43534B"/>
        </w:rPr>
        <w:t>, 46–59. [In Russian.]</w:t>
      </w:r>
    </w:p>
    <w:p w:rsidR="005A3BE3" w:rsidRPr="004008FC" w:rsidRDefault="005A3BE3" w:rsidP="004008FC">
      <w:pPr>
        <w:jc w:val="both"/>
        <w:rPr>
          <w:rFonts w:cs="AdvP43534B"/>
        </w:rPr>
      </w:pPr>
      <w:r w:rsidRPr="004008FC">
        <w:rPr>
          <w:rFonts w:cs="AdvP43534B"/>
        </w:rPr>
        <w:t>Ingram, H. A. P. 1983</w:t>
      </w:r>
      <w:r w:rsidR="004008FC">
        <w:rPr>
          <w:rFonts w:cs="AdvP43534B"/>
        </w:rPr>
        <w:t>.</w:t>
      </w:r>
      <w:r w:rsidRPr="004008FC">
        <w:rPr>
          <w:rFonts w:cs="AdvP43534B"/>
        </w:rPr>
        <w:t xml:space="preserve"> Hydrology. In </w:t>
      </w:r>
      <w:r w:rsidRPr="004008FC">
        <w:rPr>
          <w:rFonts w:cs="AdvP4B5F50"/>
        </w:rPr>
        <w:t xml:space="preserve">Ecosystems of the world 4A. Mires: swamp, bog, fen and moor </w:t>
      </w:r>
      <w:r w:rsidRPr="004008FC">
        <w:rPr>
          <w:rFonts w:cs="AdvP43534B"/>
        </w:rPr>
        <w:t>(ed. A. J. P. Gore), pp. 67–158. Amsterdam: Elsevier.</w:t>
      </w:r>
    </w:p>
    <w:p w:rsidR="00515D66" w:rsidRPr="004008FC" w:rsidRDefault="004008FC" w:rsidP="004008FC">
      <w:pPr>
        <w:jc w:val="both"/>
        <w:rPr>
          <w:rFonts w:cs="Segoe UI"/>
        </w:rPr>
      </w:pPr>
      <w:r>
        <w:rPr>
          <w:rFonts w:cs="Segoe UI"/>
        </w:rPr>
        <w:t>Kechavarzi, C., et al. 2010</w:t>
      </w:r>
      <w:r w:rsidR="00515D66" w:rsidRPr="004008FC">
        <w:rPr>
          <w:rFonts w:cs="Segoe UI"/>
        </w:rPr>
        <w:t>. Physical properties of low-lying agricultural peat soils in England: Geoderma Vol. 154 pt/no 3-4 (2010).</w:t>
      </w:r>
    </w:p>
    <w:p w:rsidR="00515D66" w:rsidRPr="004008FC" w:rsidRDefault="00515D66" w:rsidP="004008FC">
      <w:pPr>
        <w:jc w:val="both"/>
        <w:rPr>
          <w:rFonts w:eastAsia="Times New Roman" w:cs="Times New Roman"/>
        </w:rPr>
      </w:pPr>
      <w:r w:rsidRPr="004008FC">
        <w:rPr>
          <w:rFonts w:eastAsia="Times New Roman" w:cs="Times New Roman"/>
        </w:rPr>
        <w:t>Kellner E. and Halldin S. 2002.</w:t>
      </w:r>
      <w:r w:rsidR="004008FC">
        <w:rPr>
          <w:rFonts w:eastAsia="Times New Roman" w:cs="Times New Roman"/>
        </w:rPr>
        <w:t xml:space="preserve"> </w:t>
      </w:r>
      <w:r w:rsidRPr="004008FC">
        <w:rPr>
          <w:rFonts w:eastAsia="Times New Roman" w:cs="Times New Roman"/>
        </w:rPr>
        <w:t xml:space="preserve">Water budget and surface-layer water storage in a Sphagnum bog in central Sweden. Hydrological Processes 16 (1): 87-103. </w:t>
      </w:r>
    </w:p>
    <w:p w:rsidR="00515D66" w:rsidRPr="004008FC" w:rsidRDefault="00515D66" w:rsidP="004008FC">
      <w:pPr>
        <w:jc w:val="both"/>
        <w:rPr>
          <w:rFonts w:eastAsia="Times New Roman" w:cs="Times New Roman"/>
        </w:rPr>
      </w:pPr>
      <w:r w:rsidRPr="004008FC">
        <w:rPr>
          <w:rFonts w:eastAsia="Times New Roman" w:cs="Times New Roman"/>
        </w:rPr>
        <w:lastRenderedPageBreak/>
        <w:t xml:space="preserve">Kennedy GW, and </w:t>
      </w:r>
      <w:r w:rsidR="004008FC">
        <w:rPr>
          <w:rFonts w:eastAsia="Times New Roman" w:cs="Times New Roman"/>
        </w:rPr>
        <w:t>Price JS 2005.</w:t>
      </w:r>
      <w:r w:rsidRPr="004008FC">
        <w:rPr>
          <w:rFonts w:eastAsia="Times New Roman" w:cs="Times New Roman"/>
        </w:rPr>
        <w:t xml:space="preserve"> A conceptual model of volume-change controls on the hydrology of cutover peats. Journal of Hydrology 302:13 </w:t>
      </w:r>
      <w:r w:rsidRPr="004008FC">
        <w:rPr>
          <w:rFonts w:eastAsia="Times New Roman" w:cs="Arial"/>
        </w:rPr>
        <w:t>–</w:t>
      </w:r>
      <w:r w:rsidRPr="004008FC">
        <w:rPr>
          <w:rFonts w:eastAsia="Times New Roman" w:cs="Times New Roman"/>
        </w:rPr>
        <w:t xml:space="preserve"> 27</w:t>
      </w:r>
    </w:p>
    <w:p w:rsidR="00EE11D7" w:rsidRPr="004008FC" w:rsidRDefault="00EE11D7" w:rsidP="004008FC">
      <w:pPr>
        <w:jc w:val="both"/>
        <w:rPr>
          <w:rFonts w:cs="AdvP4B5F50"/>
        </w:rPr>
      </w:pPr>
      <w:r w:rsidRPr="004008FC">
        <w:rPr>
          <w:rStyle w:val="author"/>
          <w:iCs/>
        </w:rPr>
        <w:t>Letts, M. G.</w:t>
      </w:r>
      <w:r w:rsidRPr="004008FC">
        <w:rPr>
          <w:rStyle w:val="HTMLCite"/>
        </w:rPr>
        <w:t xml:space="preserve">, </w:t>
      </w:r>
      <w:r w:rsidRPr="004008FC">
        <w:rPr>
          <w:rStyle w:val="author"/>
          <w:iCs/>
        </w:rPr>
        <w:t>N. T. Roulet</w:t>
      </w:r>
      <w:r w:rsidRPr="004008FC">
        <w:rPr>
          <w:rStyle w:val="HTMLCite"/>
        </w:rPr>
        <w:t xml:space="preserve">, </w:t>
      </w:r>
      <w:r w:rsidRPr="004008FC">
        <w:rPr>
          <w:rStyle w:val="author"/>
          <w:iCs/>
        </w:rPr>
        <w:t>N. T. Comer</w:t>
      </w:r>
      <w:r w:rsidRPr="004008FC">
        <w:rPr>
          <w:rStyle w:val="HTMLCite"/>
        </w:rPr>
        <w:t xml:space="preserve">, </w:t>
      </w:r>
      <w:r w:rsidRPr="004008FC">
        <w:rPr>
          <w:rStyle w:val="author"/>
          <w:iCs/>
        </w:rPr>
        <w:t>M. R. Skarupa</w:t>
      </w:r>
      <w:r w:rsidRPr="004008FC">
        <w:rPr>
          <w:rStyle w:val="HTMLCite"/>
        </w:rPr>
        <w:t xml:space="preserve">, </w:t>
      </w:r>
      <w:r w:rsidRPr="00E7400D">
        <w:rPr>
          <w:rStyle w:val="HTMLCite"/>
          <w:i w:val="0"/>
        </w:rPr>
        <w:t>and</w:t>
      </w:r>
      <w:r w:rsidRPr="004008FC">
        <w:rPr>
          <w:rStyle w:val="HTMLCite"/>
        </w:rPr>
        <w:t xml:space="preserve"> </w:t>
      </w:r>
      <w:r w:rsidRPr="004008FC">
        <w:rPr>
          <w:rStyle w:val="author"/>
          <w:iCs/>
        </w:rPr>
        <w:t>D. L. Verseghy</w:t>
      </w:r>
      <w:r w:rsidRPr="004008FC">
        <w:rPr>
          <w:rStyle w:val="HTMLCite"/>
        </w:rPr>
        <w:t xml:space="preserve"> </w:t>
      </w:r>
      <w:r w:rsidRPr="004008FC">
        <w:rPr>
          <w:rStyle w:val="pubyear"/>
          <w:iCs/>
        </w:rPr>
        <w:t>200</w:t>
      </w:r>
      <w:r w:rsidR="004008FC">
        <w:rPr>
          <w:rStyle w:val="pubyear"/>
          <w:iCs/>
        </w:rPr>
        <w:t>0.</w:t>
      </w:r>
      <w:r w:rsidRPr="004008FC">
        <w:rPr>
          <w:rStyle w:val="HTMLCite"/>
        </w:rPr>
        <w:t xml:space="preserve"> </w:t>
      </w:r>
      <w:r w:rsidRPr="004008FC">
        <w:rPr>
          <w:rStyle w:val="articletitle"/>
          <w:iCs/>
        </w:rPr>
        <w:t>Parametrization of peatland hydraulic properties for the Canadian Land Surface Scheme</w:t>
      </w:r>
      <w:r w:rsidRPr="004008FC">
        <w:rPr>
          <w:rStyle w:val="HTMLCite"/>
        </w:rPr>
        <w:t xml:space="preserve">, </w:t>
      </w:r>
      <w:r w:rsidRPr="004008FC">
        <w:rPr>
          <w:rStyle w:val="journaltitle"/>
          <w:iCs/>
        </w:rPr>
        <w:t>Atmos. Ocean</w:t>
      </w:r>
      <w:r w:rsidRPr="004008FC">
        <w:rPr>
          <w:rStyle w:val="HTMLCite"/>
        </w:rPr>
        <w:t xml:space="preserve">, </w:t>
      </w:r>
      <w:r w:rsidRPr="004008FC">
        <w:rPr>
          <w:rStyle w:val="vol"/>
          <w:iCs/>
        </w:rPr>
        <w:t>38</w:t>
      </w:r>
      <w:r w:rsidRPr="004008FC">
        <w:rPr>
          <w:rStyle w:val="HTMLCite"/>
        </w:rPr>
        <w:t>(</w:t>
      </w:r>
      <w:r w:rsidRPr="004008FC">
        <w:rPr>
          <w:rStyle w:val="citedissue"/>
          <w:iCs/>
        </w:rPr>
        <w:t>1</w:t>
      </w:r>
      <w:r w:rsidRPr="004008FC">
        <w:rPr>
          <w:rStyle w:val="HTMLCite"/>
        </w:rPr>
        <w:t xml:space="preserve">), </w:t>
      </w:r>
      <w:r w:rsidRPr="004008FC">
        <w:rPr>
          <w:rStyle w:val="pagefirst"/>
          <w:iCs/>
        </w:rPr>
        <w:t>141</w:t>
      </w:r>
      <w:r w:rsidRPr="004008FC">
        <w:rPr>
          <w:rStyle w:val="HTMLCite"/>
        </w:rPr>
        <w:t>–</w:t>
      </w:r>
      <w:r w:rsidRPr="004008FC">
        <w:rPr>
          <w:rStyle w:val="pagelast"/>
          <w:iCs/>
        </w:rPr>
        <w:t>160</w:t>
      </w:r>
      <w:r w:rsidRPr="004008FC">
        <w:rPr>
          <w:rStyle w:val="HTMLCite"/>
        </w:rPr>
        <w:t>.</w:t>
      </w:r>
    </w:p>
    <w:p w:rsidR="005A3BE3" w:rsidRPr="004008FC" w:rsidRDefault="004008FC" w:rsidP="004008FC">
      <w:pPr>
        <w:jc w:val="both"/>
        <w:rPr>
          <w:rFonts w:eastAsia="Times New Roman" w:cs="Times New Roman"/>
        </w:rPr>
      </w:pPr>
      <w:r>
        <w:rPr>
          <w:rFonts w:eastAsia="Times New Roman" w:cs="Times New Roman"/>
        </w:rPr>
        <w:t>Meinzer OE 1923.</w:t>
      </w:r>
      <w:r w:rsidR="005A3BE3" w:rsidRPr="004008FC">
        <w:rPr>
          <w:rFonts w:eastAsia="Times New Roman" w:cs="Times New Roman"/>
        </w:rPr>
        <w:t xml:space="preserve"> Outline of ground-water hydrology, with de</w:t>
      </w:r>
      <w:r w:rsidR="005A3BE3" w:rsidRPr="004008FC">
        <w:rPr>
          <w:rFonts w:eastAsia="Times New Roman" w:cs="Courier New"/>
        </w:rPr>
        <w:t>fi</w:t>
      </w:r>
      <w:r w:rsidR="005A3BE3" w:rsidRPr="004008FC">
        <w:rPr>
          <w:rFonts w:eastAsia="Times New Roman" w:cs="Times New Roman"/>
        </w:rPr>
        <w:t>nitions. US Geol Surv Water Suppl Pap 114 494</w:t>
      </w:r>
    </w:p>
    <w:p w:rsidR="005A3BE3" w:rsidRPr="004008FC" w:rsidRDefault="004008FC" w:rsidP="004008FC">
      <w:pPr>
        <w:jc w:val="both"/>
        <w:rPr>
          <w:rFonts w:cs="Segoe UI"/>
        </w:rPr>
      </w:pPr>
      <w:r>
        <w:rPr>
          <w:rFonts w:cs="Segoe UI"/>
        </w:rPr>
        <w:t>Mould, D. J. 2008</w:t>
      </w:r>
      <w:r w:rsidR="005A3BE3" w:rsidRPr="004008FC">
        <w:rPr>
          <w:rFonts w:cs="Segoe UI"/>
        </w:rPr>
        <w:t xml:space="preserve">. Multi-scale assessment of wetland hydrological function at a wet grassland in southeast England. PhD Thesis. </w:t>
      </w:r>
    </w:p>
    <w:p w:rsidR="00EE11D7" w:rsidRPr="004008FC" w:rsidRDefault="00EE11D7" w:rsidP="004008FC">
      <w:pPr>
        <w:jc w:val="both"/>
        <w:rPr>
          <w:rFonts w:cs="TimesNewRomanPSMT"/>
        </w:rPr>
      </w:pPr>
      <w:r w:rsidRPr="004008FC">
        <w:rPr>
          <w:rFonts w:cs="TimesNewRomanPS-BoldMT"/>
          <w:bCs/>
        </w:rPr>
        <w:t>Murtedza, M., Padmanabhan, E., Me</w:t>
      </w:r>
      <w:r w:rsidR="004008FC">
        <w:rPr>
          <w:rFonts w:cs="TimesNewRomanPS-BoldMT"/>
          <w:bCs/>
        </w:rPr>
        <w:t>i, B.L.H. and Siong, W.B. 2002.</w:t>
      </w:r>
      <w:r w:rsidRPr="004008FC">
        <w:rPr>
          <w:rFonts w:cs="TimesNewRomanPS-BoldMT"/>
          <w:bCs/>
        </w:rPr>
        <w:t xml:space="preserve"> </w:t>
      </w:r>
      <w:r w:rsidRPr="004008FC">
        <w:rPr>
          <w:rFonts w:cs="TimesNewRomanPSMT"/>
        </w:rPr>
        <w:t>The Peat</w:t>
      </w:r>
      <w:r w:rsidR="004008FC">
        <w:rPr>
          <w:rFonts w:cs="TimesNewRomanPSMT"/>
        </w:rPr>
        <w:t xml:space="preserve"> </w:t>
      </w:r>
      <w:r w:rsidRPr="004008FC">
        <w:rPr>
          <w:rFonts w:cs="TimesNewRomanPSMT"/>
        </w:rPr>
        <w:t xml:space="preserve">Soils of Sarawak. </w:t>
      </w:r>
      <w:r w:rsidRPr="004008FC">
        <w:rPr>
          <w:rFonts w:cs="Times New Roman"/>
          <w:i/>
          <w:iCs/>
        </w:rPr>
        <w:t>STRAPEAT – Status Report</w:t>
      </w:r>
      <w:r w:rsidRPr="004008FC">
        <w:rPr>
          <w:rFonts w:cs="TimesNewRomanPSMT"/>
        </w:rPr>
        <w:t>.</w:t>
      </w:r>
    </w:p>
    <w:p w:rsidR="00EE11D7" w:rsidRPr="004008FC" w:rsidRDefault="00EE11D7" w:rsidP="004008FC">
      <w:pPr>
        <w:jc w:val="both"/>
        <w:rPr>
          <w:rFonts w:cs="TimesNewRomanPS-BoldMT"/>
          <w:bCs/>
        </w:rPr>
      </w:pPr>
      <w:r w:rsidRPr="004008FC">
        <w:rPr>
          <w:rFonts w:cs="TimesNewRomanPS-BoldMT"/>
          <w:bCs/>
        </w:rPr>
        <w:t>Parkin, G., Birkinshaw, S., Humphries, N., Benyon, P., Humphries, C., Bentley,</w:t>
      </w:r>
      <w:r w:rsidR="004008FC">
        <w:rPr>
          <w:rFonts w:cs="TimesNewRomanPS-BoldMT"/>
          <w:bCs/>
        </w:rPr>
        <w:t xml:space="preserve"> M. and Gilman, K. 2004.</w:t>
      </w:r>
      <w:r w:rsidRPr="004008FC">
        <w:rPr>
          <w:rFonts w:cs="TimesNewRomanPS-BoldMT"/>
          <w:bCs/>
        </w:rPr>
        <w:t xml:space="preserve"> </w:t>
      </w:r>
      <w:r w:rsidRPr="004008FC">
        <w:rPr>
          <w:rFonts w:cs="TimesNewRomanPSMT"/>
        </w:rPr>
        <w:t>Water Availability and Budgets for Wetland Restoration</w:t>
      </w:r>
      <w:r w:rsidR="004008FC">
        <w:rPr>
          <w:rFonts w:cs="TimesNewRomanPS-BoldMT"/>
          <w:bCs/>
        </w:rPr>
        <w:t xml:space="preserve"> </w:t>
      </w:r>
      <w:r w:rsidRPr="004008FC">
        <w:rPr>
          <w:rFonts w:cs="TimesNewRomanPSMT"/>
        </w:rPr>
        <w:t xml:space="preserve">and Re-Creation Sites. </w:t>
      </w:r>
      <w:r w:rsidRPr="004008FC">
        <w:rPr>
          <w:rFonts w:cs="Times New Roman"/>
          <w:i/>
          <w:iCs/>
        </w:rPr>
        <w:t>DEFRA Commissioned Project BD1316. Final Report: June</w:t>
      </w:r>
      <w:r w:rsidR="004008FC">
        <w:rPr>
          <w:rFonts w:cs="TimesNewRomanPS-BoldMT"/>
          <w:bCs/>
        </w:rPr>
        <w:t xml:space="preserve"> </w:t>
      </w:r>
      <w:r w:rsidRPr="004008FC">
        <w:rPr>
          <w:rFonts w:cs="Times New Roman"/>
          <w:i/>
          <w:iCs/>
        </w:rPr>
        <w:t>2004</w:t>
      </w:r>
      <w:r w:rsidRPr="004008FC">
        <w:rPr>
          <w:rFonts w:cs="TimesNewRomanPSMT"/>
        </w:rPr>
        <w:t>.</w:t>
      </w:r>
    </w:p>
    <w:p w:rsidR="005A3BE3" w:rsidRDefault="004008FC" w:rsidP="004008FC">
      <w:pPr>
        <w:jc w:val="both"/>
      </w:pPr>
      <w:r>
        <w:t>Price</w:t>
      </w:r>
      <w:r w:rsidR="00515D66" w:rsidRPr="004008FC">
        <w:t>, J.S. &amp; S</w:t>
      </w:r>
      <w:r>
        <w:t>chlotzhauer</w:t>
      </w:r>
      <w:r w:rsidR="00515D66" w:rsidRPr="004008FC">
        <w:t xml:space="preserve">, M. </w:t>
      </w:r>
      <w:r>
        <w:t xml:space="preserve">1999. </w:t>
      </w:r>
      <w:r w:rsidR="00515D66" w:rsidRPr="004008FC">
        <w:t>Importance of shrinkage and compression in determining water storage changes in peat: The case of a mined peatland. Hydrol. Process</w:t>
      </w:r>
      <w:r w:rsidR="00515D66" w:rsidRPr="004008FC">
        <w:rPr>
          <w:i/>
          <w:iCs/>
        </w:rPr>
        <w:t>,</w:t>
      </w:r>
      <w:r>
        <w:t xml:space="preserve"> 13:2591-2601.</w:t>
      </w:r>
    </w:p>
    <w:p w:rsidR="004008FC" w:rsidRPr="004008FC" w:rsidRDefault="004008FC" w:rsidP="004008FC">
      <w:pPr>
        <w:jc w:val="both"/>
      </w:pPr>
      <w:r w:rsidRPr="004008FC">
        <w:t xml:space="preserve">Price, J.S., Heathwaite, A.L. and Baird, A.J. 2003. Hydrological processes in abandoned and restored peatlands: An overview of management approaches. </w:t>
      </w:r>
      <w:r w:rsidRPr="004008FC">
        <w:rPr>
          <w:i/>
        </w:rPr>
        <w:t>Wetlands Ecology and Mangagement</w:t>
      </w:r>
      <w:r w:rsidRPr="004008FC">
        <w:t xml:space="preserve">. 11: 65-83. </w:t>
      </w:r>
    </w:p>
    <w:p w:rsidR="0063794B" w:rsidRDefault="004008FC" w:rsidP="0063794B">
      <w:pPr>
        <w:jc w:val="both"/>
        <w:rPr>
          <w:rFonts w:eastAsia="Times New Roman" w:cs="Arial"/>
        </w:rPr>
      </w:pPr>
      <w:r>
        <w:rPr>
          <w:rFonts w:cs="Segoe UI"/>
        </w:rPr>
        <w:t xml:space="preserve">Robson, A. and D. W. Reed </w:t>
      </w:r>
      <w:r w:rsidR="005A3BE3" w:rsidRPr="004008FC">
        <w:rPr>
          <w:rFonts w:cs="Segoe UI"/>
        </w:rPr>
        <w:t>1999. Flood estimation handbook. Vol. 3: Statistical procedures for flood frequency estimation.</w:t>
      </w:r>
      <w:r w:rsidR="0063794B" w:rsidRPr="0063794B">
        <w:rPr>
          <w:rFonts w:eastAsia="Times New Roman" w:cs="Arial"/>
        </w:rPr>
        <w:t xml:space="preserve"> </w:t>
      </w:r>
    </w:p>
    <w:p w:rsidR="0063794B" w:rsidRPr="004008FC" w:rsidRDefault="0063794B" w:rsidP="0063794B">
      <w:pPr>
        <w:jc w:val="both"/>
        <w:rPr>
          <w:rFonts w:cs="Segoe UI"/>
        </w:rPr>
      </w:pPr>
      <w:r w:rsidRPr="004008FC">
        <w:rPr>
          <w:rFonts w:eastAsia="Times New Roman" w:cs="Arial"/>
        </w:rPr>
        <w:t>Schwärzel, K.,M. Renger,G</w:t>
      </w:r>
      <w:r>
        <w:rPr>
          <w:rFonts w:eastAsia="Times New Roman" w:cs="Arial"/>
        </w:rPr>
        <w:t>. Wessolek,and R. Sauerbrey. 2002</w:t>
      </w:r>
      <w:r w:rsidRPr="004008FC">
        <w:rPr>
          <w:rFonts w:eastAsia="Times New Roman" w:cs="Arial"/>
        </w:rPr>
        <w:t>: Soil physical characteristics of peat soils. J. Plant Nutr. Soil Sci. 165,479±486.</w:t>
      </w:r>
    </w:p>
    <w:p w:rsidR="00515D66" w:rsidRPr="004008FC" w:rsidRDefault="00515D66" w:rsidP="004008FC">
      <w:pPr>
        <w:jc w:val="both"/>
        <w:rPr>
          <w:rFonts w:eastAsia="Times New Roman" w:cs="Arial"/>
        </w:rPr>
      </w:pPr>
      <w:r w:rsidRPr="004008FC">
        <w:rPr>
          <w:rFonts w:eastAsia="Times New Roman" w:cs="Arial"/>
        </w:rPr>
        <w:t xml:space="preserve">Silinis, U.,and R. L. Rothwell </w:t>
      </w:r>
      <w:r w:rsidR="004008FC">
        <w:rPr>
          <w:rFonts w:eastAsia="Times New Roman" w:cs="Arial"/>
        </w:rPr>
        <w:t>1998</w:t>
      </w:r>
      <w:r w:rsidRPr="004008FC">
        <w:rPr>
          <w:rFonts w:eastAsia="Times New Roman" w:cs="Arial"/>
        </w:rPr>
        <w:t>: Forest Peatland drainage and subsidence affect soil water retention and transport properties in an Alberta peatland. Soil Sci. Soc. Am. J. 62,1048±1056.</w:t>
      </w:r>
    </w:p>
    <w:p w:rsidR="00E8359D" w:rsidRPr="0063794B" w:rsidRDefault="00702E03" w:rsidP="004008FC">
      <w:pPr>
        <w:jc w:val="both"/>
      </w:pPr>
      <w:r w:rsidRPr="004008FC">
        <w:t xml:space="preserve">Sutherland, P. and Nicholson, A. 1986. </w:t>
      </w:r>
      <w:r w:rsidRPr="004008FC">
        <w:rPr>
          <w:i/>
        </w:rPr>
        <w:t>Wetland – Life in the Somerset Levels</w:t>
      </w:r>
      <w:r w:rsidRPr="004008FC">
        <w:t xml:space="preserve">. Michael Joseph. London. </w:t>
      </w:r>
    </w:p>
    <w:p w:rsidR="004008FC" w:rsidRDefault="00E60714" w:rsidP="004008FC">
      <w:pPr>
        <w:jc w:val="both"/>
      </w:pPr>
      <w:r w:rsidRPr="004008FC">
        <w:t xml:space="preserve">Robson, A. and Reed, D. 1999. </w:t>
      </w:r>
      <w:r w:rsidRPr="004008FC">
        <w:rPr>
          <w:i/>
        </w:rPr>
        <w:t>Flood Estimation Handbook Volume 3: Statistical Procedures for Flood Frequency Estimation.</w:t>
      </w:r>
      <w:r w:rsidRPr="004008FC">
        <w:t xml:space="preserve"> Institute of Hydrology, Wallingford, UK. 338pp.</w:t>
      </w:r>
    </w:p>
    <w:p w:rsidR="0063794B" w:rsidRDefault="0063794B" w:rsidP="004008FC">
      <w:pPr>
        <w:jc w:val="both"/>
      </w:pPr>
      <w:r w:rsidRPr="004008FC">
        <w:rPr>
          <w:rFonts w:eastAsia="Times New Roman" w:cs="Arial"/>
        </w:rPr>
        <w:t>Tatem, K.W. and Sturdy, I. D. 1994. Somerset levels and moors water level management and nature conservation strategy. In Wetland Management, edited by R. A. Falconer and P. Goodwin. Institution of Civil Engineers, London.</w:t>
      </w:r>
    </w:p>
    <w:p w:rsidR="004B2BEF" w:rsidRPr="004008FC" w:rsidRDefault="004B2BEF" w:rsidP="004008FC">
      <w:pPr>
        <w:jc w:val="both"/>
        <w:rPr>
          <w:rFonts w:cs="Times-Roman"/>
        </w:rPr>
      </w:pPr>
      <w:r w:rsidRPr="004008FC">
        <w:rPr>
          <w:rFonts w:cs="Times-Roman"/>
        </w:rPr>
        <w:t>Van der Molen, W.H. 1975. Subsidence of peat soils after drainage. In: Hydrology of Marsh-ridden areas. Proceedings of the Minsk Symposium, June 1972: 183- 186. Unesco Press, IAHS, Paris.</w:t>
      </w:r>
    </w:p>
    <w:p w:rsidR="00B76E3D" w:rsidRPr="004008FC" w:rsidRDefault="004B2BEF" w:rsidP="004008FC">
      <w:pPr>
        <w:jc w:val="both"/>
      </w:pPr>
      <w:r w:rsidRPr="004008FC">
        <w:rPr>
          <w:rFonts w:eastAsia="Times New Roman" w:cs="Arial"/>
        </w:rPr>
        <w:t>Weiss, R., J. Aim, R.</w:t>
      </w:r>
      <w:r w:rsidR="004008FC">
        <w:rPr>
          <w:rFonts w:eastAsia="Times New Roman" w:cs="Arial"/>
        </w:rPr>
        <w:t xml:space="preserve"> Laiho, and J. Laine. 1998. </w:t>
      </w:r>
      <w:r w:rsidR="00E7400D" w:rsidRPr="004008FC">
        <w:rPr>
          <w:rFonts w:eastAsia="Times New Roman" w:cs="Arial"/>
        </w:rPr>
        <w:t>Modelling</w:t>
      </w:r>
      <w:r w:rsidRPr="004008FC">
        <w:rPr>
          <w:rFonts w:eastAsia="Times New Roman" w:cs="Arial"/>
        </w:rPr>
        <w:t xml:space="preserve"> moisture retention in peat soils, Soil Sci. </w:t>
      </w:r>
      <w:r w:rsidR="004008FC">
        <w:rPr>
          <w:rFonts w:eastAsia="Times New Roman" w:cs="Arial"/>
        </w:rPr>
        <w:t>Soc. Am. J., 62, 305-313.</w:t>
      </w:r>
    </w:p>
    <w:sectPr w:rsidR="00B76E3D" w:rsidRPr="004008FC" w:rsidSect="00EE0D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902" w:rsidRDefault="00025902" w:rsidP="00E950FA">
      <w:pPr>
        <w:spacing w:after="0" w:line="240" w:lineRule="auto"/>
      </w:pPr>
      <w:r>
        <w:separator/>
      </w:r>
    </w:p>
  </w:endnote>
  <w:endnote w:type="continuationSeparator" w:id="0">
    <w:p w:rsidR="00025902" w:rsidRDefault="00025902" w:rsidP="00E95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P43534B">
    <w:panose1 w:val="00000000000000000000"/>
    <w:charset w:val="00"/>
    <w:family w:val="auto"/>
    <w:notTrueType/>
    <w:pitch w:val="default"/>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AdvTT5235d5a9+fb">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MTSY">
    <w:panose1 w:val="00000000000000000000"/>
    <w:charset w:val="00"/>
    <w:family w:val="auto"/>
    <w:notTrueType/>
    <w:pitch w:val="default"/>
    <w:sig w:usb0="00000003" w:usb1="00000000" w:usb2="00000000" w:usb3="00000000" w:csb0="00000001" w:csb1="00000000"/>
  </w:font>
  <w:font w:name="AdvTT94666391">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dvP4B5F50">
    <w:panose1 w:val="00000000000000000000"/>
    <w:charset w:val="00"/>
    <w:family w:val="auto"/>
    <w:notTrueType/>
    <w:pitch w:val="default"/>
    <w:sig w:usb0="00000003" w:usb1="00000000" w:usb2="00000000" w:usb3="00000000" w:csb0="00000001" w:csb1="00000000"/>
  </w:font>
  <w:font w:name="AdvP4818C4">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9118"/>
      <w:docPartObj>
        <w:docPartGallery w:val="Page Numbers (Bottom of Page)"/>
        <w:docPartUnique/>
      </w:docPartObj>
    </w:sdtPr>
    <w:sdtEndPr/>
    <w:sdtContent>
      <w:p w:rsidR="00025902" w:rsidRDefault="00025902">
        <w:pPr>
          <w:pStyle w:val="Footer"/>
        </w:pPr>
        <w:r>
          <w:rPr>
            <w:noProof/>
          </w:rPr>
          <mc:AlternateContent>
            <mc:Choice Requires="wps">
              <w:drawing>
                <wp:anchor distT="0" distB="0" distL="114300" distR="114300" simplePos="0" relativeHeight="251657216" behindDoc="0" locked="0" layoutInCell="1" allowOverlap="1">
                  <wp:simplePos x="0" y="0"/>
                  <wp:positionH relativeFrom="rightMargin">
                    <wp:align>center</wp:align>
                  </wp:positionH>
                  <wp:positionV relativeFrom="bottomMargin">
                    <wp:align>center</wp:align>
                  </wp:positionV>
                  <wp:extent cx="565785" cy="191770"/>
                  <wp:effectExtent l="0" t="0" r="0" b="17780"/>
                  <wp:wrapNone/>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025902" w:rsidRPr="00E950FA" w:rsidRDefault="00025902" w:rsidP="00E950FA"/>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margin-left:0;margin-top:0;width:44.55pt;height:15.1pt;rotation:180;flip:x;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" filled="f" fillcolor="#c0504d [3205]" stroked="f" strokecolor="#4f81bd [3204]" strokeweight="2.25pt">
                  <v:textbox inset=",0,,0">
                    <w:txbxContent>
                      <w:p w:rsidR="00025902" w:rsidRPr="00E950FA" w:rsidRDefault="00025902" w:rsidP="00E950FA"/>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9119"/>
      <w:docPartObj>
        <w:docPartGallery w:val="Page Numbers (Bottom of Page)"/>
        <w:docPartUnique/>
      </w:docPartObj>
    </w:sdtPr>
    <w:sdtEndPr/>
    <w:sdtContent>
      <w:p w:rsidR="00025902" w:rsidRDefault="00025902">
        <w:pPr>
          <w:pStyle w:val="Footer"/>
          <w:jc w:val="right"/>
        </w:pPr>
        <w:r>
          <w:fldChar w:fldCharType="begin"/>
        </w:r>
        <w:r>
          <w:instrText xml:space="preserve"> PAGE   \* MERGEFORMAT </w:instrText>
        </w:r>
        <w:r>
          <w:fldChar w:fldCharType="separate"/>
        </w:r>
        <w:r w:rsidR="00EA6C18">
          <w:rPr>
            <w:noProof/>
          </w:rPr>
          <w:t>13</w:t>
        </w:r>
        <w:r>
          <w:rPr>
            <w:noProof/>
          </w:rPr>
          <w:fldChar w:fldCharType="end"/>
        </w:r>
      </w:p>
    </w:sdtContent>
  </w:sdt>
  <w:p w:rsidR="00025902" w:rsidRDefault="000259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902" w:rsidRDefault="00025902" w:rsidP="00E950FA">
      <w:pPr>
        <w:spacing w:after="0" w:line="240" w:lineRule="auto"/>
      </w:pPr>
      <w:r>
        <w:separator/>
      </w:r>
    </w:p>
  </w:footnote>
  <w:footnote w:type="continuationSeparator" w:id="0">
    <w:p w:rsidR="00025902" w:rsidRDefault="00025902" w:rsidP="00E950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2420"/>
    <w:multiLevelType w:val="hybridMultilevel"/>
    <w:tmpl w:val="311C7C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74759A"/>
    <w:multiLevelType w:val="hybridMultilevel"/>
    <w:tmpl w:val="AE3A5A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C85C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7803A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C49626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29A38C5"/>
    <w:multiLevelType w:val="hybridMultilevel"/>
    <w:tmpl w:val="274A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9219A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5E75B2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89B05A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8F27BCA"/>
    <w:multiLevelType w:val="hybridMultilevel"/>
    <w:tmpl w:val="8E469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F367E2"/>
    <w:multiLevelType w:val="hybridMultilevel"/>
    <w:tmpl w:val="F7FC43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1362DAB"/>
    <w:multiLevelType w:val="hybridMultilevel"/>
    <w:tmpl w:val="F7FC43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1954EB1"/>
    <w:multiLevelType w:val="hybridMultilevel"/>
    <w:tmpl w:val="41106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CC55D2"/>
    <w:multiLevelType w:val="hybridMultilevel"/>
    <w:tmpl w:val="3DBE31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95E105B"/>
    <w:multiLevelType w:val="hybridMultilevel"/>
    <w:tmpl w:val="38021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E53F7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C5F4E8E"/>
    <w:multiLevelType w:val="hybridMultilevel"/>
    <w:tmpl w:val="E8CA4D92"/>
    <w:lvl w:ilvl="0" w:tplc="E2E03EA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6C471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4E83D12"/>
    <w:multiLevelType w:val="hybridMultilevel"/>
    <w:tmpl w:val="31945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87563E6"/>
    <w:multiLevelType w:val="hybridMultilevel"/>
    <w:tmpl w:val="F7FC43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A573D80"/>
    <w:multiLevelType w:val="hybridMultilevel"/>
    <w:tmpl w:val="2D28B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0C62FE"/>
    <w:multiLevelType w:val="multilevel"/>
    <w:tmpl w:val="0809001D"/>
    <w:styleLink w:val="CharlieCalibriDefault"/>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FD729C2"/>
    <w:multiLevelType w:val="hybridMultilevel"/>
    <w:tmpl w:val="F7FC43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2AB2C84"/>
    <w:multiLevelType w:val="hybridMultilevel"/>
    <w:tmpl w:val="F7FC43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734245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99C04D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C0038D3"/>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nsid w:val="61D15F0C"/>
    <w:multiLevelType w:val="hybridMultilevel"/>
    <w:tmpl w:val="2BBC17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39C1DB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4782558"/>
    <w:multiLevelType w:val="hybridMultilevel"/>
    <w:tmpl w:val="665C3D58"/>
    <w:lvl w:ilvl="0" w:tplc="B2A4B8E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57C24E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8461B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A187B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D371DEC"/>
    <w:multiLevelType w:val="hybridMultilevel"/>
    <w:tmpl w:val="4656A0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F420B94"/>
    <w:multiLevelType w:val="hybridMultilevel"/>
    <w:tmpl w:val="F7FC43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7280AB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D7849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D987DA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5"/>
  </w:num>
  <w:num w:numId="3">
    <w:abstractNumId w:val="0"/>
  </w:num>
  <w:num w:numId="4">
    <w:abstractNumId w:val="20"/>
  </w:num>
  <w:num w:numId="5">
    <w:abstractNumId w:val="9"/>
  </w:num>
  <w:num w:numId="6">
    <w:abstractNumId w:val="14"/>
  </w:num>
  <w:num w:numId="7">
    <w:abstractNumId w:val="18"/>
  </w:num>
  <w:num w:numId="8">
    <w:abstractNumId w:val="13"/>
  </w:num>
  <w:num w:numId="9">
    <w:abstractNumId w:val="1"/>
  </w:num>
  <w:num w:numId="10">
    <w:abstractNumId w:val="27"/>
  </w:num>
  <w:num w:numId="11">
    <w:abstractNumId w:val="29"/>
  </w:num>
  <w:num w:numId="12">
    <w:abstractNumId w:val="16"/>
  </w:num>
  <w:num w:numId="13">
    <w:abstractNumId w:val="24"/>
  </w:num>
  <w:num w:numId="14">
    <w:abstractNumId w:val="21"/>
  </w:num>
  <w:num w:numId="15">
    <w:abstractNumId w:val="3"/>
  </w:num>
  <w:num w:numId="16">
    <w:abstractNumId w:val="17"/>
  </w:num>
  <w:num w:numId="17">
    <w:abstractNumId w:val="35"/>
  </w:num>
  <w:num w:numId="18">
    <w:abstractNumId w:val="6"/>
  </w:num>
  <w:num w:numId="19">
    <w:abstractNumId w:val="8"/>
  </w:num>
  <w:num w:numId="20">
    <w:abstractNumId w:val="2"/>
  </w:num>
  <w:num w:numId="21">
    <w:abstractNumId w:val="25"/>
  </w:num>
  <w:num w:numId="22">
    <w:abstractNumId w:val="36"/>
  </w:num>
  <w:num w:numId="23">
    <w:abstractNumId w:val="32"/>
  </w:num>
  <w:num w:numId="24">
    <w:abstractNumId w:val="15"/>
  </w:num>
  <w:num w:numId="25">
    <w:abstractNumId w:val="30"/>
  </w:num>
  <w:num w:numId="26">
    <w:abstractNumId w:val="31"/>
  </w:num>
  <w:num w:numId="27">
    <w:abstractNumId w:val="4"/>
  </w:num>
  <w:num w:numId="28">
    <w:abstractNumId w:val="37"/>
  </w:num>
  <w:num w:numId="29">
    <w:abstractNumId w:val="28"/>
  </w:num>
  <w:num w:numId="30">
    <w:abstractNumId w:val="33"/>
  </w:num>
  <w:num w:numId="31">
    <w:abstractNumId w:val="23"/>
  </w:num>
  <w:num w:numId="32">
    <w:abstractNumId w:val="10"/>
  </w:num>
  <w:num w:numId="33">
    <w:abstractNumId w:val="19"/>
  </w:num>
  <w:num w:numId="34">
    <w:abstractNumId w:val="22"/>
  </w:num>
  <w:num w:numId="35">
    <w:abstractNumId w:val="11"/>
  </w:num>
  <w:num w:numId="36">
    <w:abstractNumId w:val="7"/>
  </w:num>
  <w:num w:numId="37">
    <w:abstractNumId w:val="34"/>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C3C"/>
    <w:rsid w:val="00003978"/>
    <w:rsid w:val="000141BD"/>
    <w:rsid w:val="00015842"/>
    <w:rsid w:val="00022B62"/>
    <w:rsid w:val="0002387C"/>
    <w:rsid w:val="00025902"/>
    <w:rsid w:val="000342E2"/>
    <w:rsid w:val="000413DC"/>
    <w:rsid w:val="00045500"/>
    <w:rsid w:val="000536D2"/>
    <w:rsid w:val="00054D7C"/>
    <w:rsid w:val="0007514F"/>
    <w:rsid w:val="0008098C"/>
    <w:rsid w:val="00094CF4"/>
    <w:rsid w:val="0009514D"/>
    <w:rsid w:val="000A5368"/>
    <w:rsid w:val="000A7570"/>
    <w:rsid w:val="000B2113"/>
    <w:rsid w:val="000B761C"/>
    <w:rsid w:val="000C073A"/>
    <w:rsid w:val="000C5D68"/>
    <w:rsid w:val="000C70EA"/>
    <w:rsid w:val="000C79EB"/>
    <w:rsid w:val="000D223C"/>
    <w:rsid w:val="000D4CAF"/>
    <w:rsid w:val="000E193B"/>
    <w:rsid w:val="000E2309"/>
    <w:rsid w:val="000E5730"/>
    <w:rsid w:val="000E5816"/>
    <w:rsid w:val="000F0CCA"/>
    <w:rsid w:val="000F275C"/>
    <w:rsid w:val="000F2C03"/>
    <w:rsid w:val="000F3F82"/>
    <w:rsid w:val="000F645F"/>
    <w:rsid w:val="001133CA"/>
    <w:rsid w:val="001225B9"/>
    <w:rsid w:val="00122CFA"/>
    <w:rsid w:val="00123F64"/>
    <w:rsid w:val="00124C1B"/>
    <w:rsid w:val="001269DB"/>
    <w:rsid w:val="00142410"/>
    <w:rsid w:val="00144350"/>
    <w:rsid w:val="0014453A"/>
    <w:rsid w:val="00145966"/>
    <w:rsid w:val="001514B5"/>
    <w:rsid w:val="00153E9F"/>
    <w:rsid w:val="00157534"/>
    <w:rsid w:val="0017207F"/>
    <w:rsid w:val="0017293C"/>
    <w:rsid w:val="00182958"/>
    <w:rsid w:val="0018426B"/>
    <w:rsid w:val="00191635"/>
    <w:rsid w:val="001952D9"/>
    <w:rsid w:val="001967A3"/>
    <w:rsid w:val="001B6FDD"/>
    <w:rsid w:val="001C0DDE"/>
    <w:rsid w:val="001C213B"/>
    <w:rsid w:val="001C44ED"/>
    <w:rsid w:val="001D06ED"/>
    <w:rsid w:val="001E11E2"/>
    <w:rsid w:val="001E1EB5"/>
    <w:rsid w:val="001E6755"/>
    <w:rsid w:val="001E680B"/>
    <w:rsid w:val="001F12C6"/>
    <w:rsid w:val="001F1A19"/>
    <w:rsid w:val="001F772A"/>
    <w:rsid w:val="002045B9"/>
    <w:rsid w:val="00213F61"/>
    <w:rsid w:val="002213A8"/>
    <w:rsid w:val="00226D02"/>
    <w:rsid w:val="00240F7A"/>
    <w:rsid w:val="00242135"/>
    <w:rsid w:val="00244C0C"/>
    <w:rsid w:val="00251534"/>
    <w:rsid w:val="0025315B"/>
    <w:rsid w:val="002540CF"/>
    <w:rsid w:val="0025548B"/>
    <w:rsid w:val="00261B7B"/>
    <w:rsid w:val="00267270"/>
    <w:rsid w:val="00270DC1"/>
    <w:rsid w:val="00282006"/>
    <w:rsid w:val="0028569B"/>
    <w:rsid w:val="00286433"/>
    <w:rsid w:val="002961E2"/>
    <w:rsid w:val="002A166F"/>
    <w:rsid w:val="002A3421"/>
    <w:rsid w:val="002A4C42"/>
    <w:rsid w:val="002A6248"/>
    <w:rsid w:val="002C0EAE"/>
    <w:rsid w:val="002C38AB"/>
    <w:rsid w:val="002C689B"/>
    <w:rsid w:val="002D73C2"/>
    <w:rsid w:val="002E35B7"/>
    <w:rsid w:val="002E6AB6"/>
    <w:rsid w:val="002F7048"/>
    <w:rsid w:val="002F73C5"/>
    <w:rsid w:val="003053B1"/>
    <w:rsid w:val="00306C3C"/>
    <w:rsid w:val="0031093E"/>
    <w:rsid w:val="0031691B"/>
    <w:rsid w:val="003222ED"/>
    <w:rsid w:val="00322B20"/>
    <w:rsid w:val="003301CA"/>
    <w:rsid w:val="00330CFE"/>
    <w:rsid w:val="00331EBD"/>
    <w:rsid w:val="00335CF3"/>
    <w:rsid w:val="003419D3"/>
    <w:rsid w:val="00343338"/>
    <w:rsid w:val="003555DD"/>
    <w:rsid w:val="00357A83"/>
    <w:rsid w:val="00357FB2"/>
    <w:rsid w:val="00361410"/>
    <w:rsid w:val="00362B5D"/>
    <w:rsid w:val="0036370A"/>
    <w:rsid w:val="00364FA2"/>
    <w:rsid w:val="00365BC4"/>
    <w:rsid w:val="00381650"/>
    <w:rsid w:val="0038313E"/>
    <w:rsid w:val="00391BC8"/>
    <w:rsid w:val="00392D10"/>
    <w:rsid w:val="00393F1A"/>
    <w:rsid w:val="00394C21"/>
    <w:rsid w:val="0039713D"/>
    <w:rsid w:val="003A5B4C"/>
    <w:rsid w:val="003A6C23"/>
    <w:rsid w:val="003B2ACF"/>
    <w:rsid w:val="003C0290"/>
    <w:rsid w:val="003C2891"/>
    <w:rsid w:val="003D02F4"/>
    <w:rsid w:val="003D0982"/>
    <w:rsid w:val="003D3DC8"/>
    <w:rsid w:val="003D526C"/>
    <w:rsid w:val="003D62E0"/>
    <w:rsid w:val="003F05DE"/>
    <w:rsid w:val="003F1F3D"/>
    <w:rsid w:val="003F449D"/>
    <w:rsid w:val="003F5F71"/>
    <w:rsid w:val="003F7722"/>
    <w:rsid w:val="004008FC"/>
    <w:rsid w:val="00401F72"/>
    <w:rsid w:val="00403975"/>
    <w:rsid w:val="004047AD"/>
    <w:rsid w:val="00407340"/>
    <w:rsid w:val="00411BC4"/>
    <w:rsid w:val="004152B1"/>
    <w:rsid w:val="004172A3"/>
    <w:rsid w:val="00426D41"/>
    <w:rsid w:val="00430D9D"/>
    <w:rsid w:val="0045542D"/>
    <w:rsid w:val="00460D38"/>
    <w:rsid w:val="004713CB"/>
    <w:rsid w:val="00475991"/>
    <w:rsid w:val="00477B5D"/>
    <w:rsid w:val="00483718"/>
    <w:rsid w:val="00486CCA"/>
    <w:rsid w:val="00487D34"/>
    <w:rsid w:val="004931EA"/>
    <w:rsid w:val="004A03A9"/>
    <w:rsid w:val="004A2F61"/>
    <w:rsid w:val="004A3139"/>
    <w:rsid w:val="004B27F5"/>
    <w:rsid w:val="004B2BEF"/>
    <w:rsid w:val="004C62AD"/>
    <w:rsid w:val="004C6643"/>
    <w:rsid w:val="004D313E"/>
    <w:rsid w:val="004D790A"/>
    <w:rsid w:val="004E1F16"/>
    <w:rsid w:val="004E429F"/>
    <w:rsid w:val="005002C7"/>
    <w:rsid w:val="00502C93"/>
    <w:rsid w:val="00505068"/>
    <w:rsid w:val="00507AB3"/>
    <w:rsid w:val="00514337"/>
    <w:rsid w:val="00515158"/>
    <w:rsid w:val="00515D66"/>
    <w:rsid w:val="00524F77"/>
    <w:rsid w:val="00527DD2"/>
    <w:rsid w:val="00531357"/>
    <w:rsid w:val="00541467"/>
    <w:rsid w:val="00541AF2"/>
    <w:rsid w:val="00542C8A"/>
    <w:rsid w:val="00545807"/>
    <w:rsid w:val="00546ACC"/>
    <w:rsid w:val="00553C33"/>
    <w:rsid w:val="005551B9"/>
    <w:rsid w:val="00557501"/>
    <w:rsid w:val="00570426"/>
    <w:rsid w:val="00585A6F"/>
    <w:rsid w:val="00586F50"/>
    <w:rsid w:val="00587232"/>
    <w:rsid w:val="005946AB"/>
    <w:rsid w:val="005A152D"/>
    <w:rsid w:val="005A3BE3"/>
    <w:rsid w:val="005C2C95"/>
    <w:rsid w:val="005C4956"/>
    <w:rsid w:val="005C7861"/>
    <w:rsid w:val="005C7B73"/>
    <w:rsid w:val="005E2912"/>
    <w:rsid w:val="00602D34"/>
    <w:rsid w:val="006040D8"/>
    <w:rsid w:val="00611567"/>
    <w:rsid w:val="00611941"/>
    <w:rsid w:val="00617FF2"/>
    <w:rsid w:val="006215E3"/>
    <w:rsid w:val="006227B3"/>
    <w:rsid w:val="00630D17"/>
    <w:rsid w:val="006310C2"/>
    <w:rsid w:val="006332AA"/>
    <w:rsid w:val="006363C5"/>
    <w:rsid w:val="0063794B"/>
    <w:rsid w:val="00640373"/>
    <w:rsid w:val="006415DF"/>
    <w:rsid w:val="00644A43"/>
    <w:rsid w:val="00644DF8"/>
    <w:rsid w:val="006573B3"/>
    <w:rsid w:val="00657FED"/>
    <w:rsid w:val="0066112D"/>
    <w:rsid w:val="006621A1"/>
    <w:rsid w:val="006631C8"/>
    <w:rsid w:val="00664D7E"/>
    <w:rsid w:val="00667F00"/>
    <w:rsid w:val="006700CD"/>
    <w:rsid w:val="006720E7"/>
    <w:rsid w:val="00674752"/>
    <w:rsid w:val="00674EB9"/>
    <w:rsid w:val="00677FF3"/>
    <w:rsid w:val="00681897"/>
    <w:rsid w:val="0068426C"/>
    <w:rsid w:val="0068473B"/>
    <w:rsid w:val="00686218"/>
    <w:rsid w:val="006935BE"/>
    <w:rsid w:val="006A3AD6"/>
    <w:rsid w:val="006A48D9"/>
    <w:rsid w:val="006A5890"/>
    <w:rsid w:val="006B1EB9"/>
    <w:rsid w:val="006B358F"/>
    <w:rsid w:val="006C374B"/>
    <w:rsid w:val="006C6285"/>
    <w:rsid w:val="006C6567"/>
    <w:rsid w:val="006C66C1"/>
    <w:rsid w:val="006C7E57"/>
    <w:rsid w:val="006D253C"/>
    <w:rsid w:val="006E0880"/>
    <w:rsid w:val="006E3360"/>
    <w:rsid w:val="006E450D"/>
    <w:rsid w:val="006E58D8"/>
    <w:rsid w:val="006E6EE3"/>
    <w:rsid w:val="00701E48"/>
    <w:rsid w:val="007020C9"/>
    <w:rsid w:val="00702E03"/>
    <w:rsid w:val="007109F5"/>
    <w:rsid w:val="007146EA"/>
    <w:rsid w:val="00724887"/>
    <w:rsid w:val="007251AE"/>
    <w:rsid w:val="00731978"/>
    <w:rsid w:val="0073320F"/>
    <w:rsid w:val="0073724F"/>
    <w:rsid w:val="00741A65"/>
    <w:rsid w:val="0075140E"/>
    <w:rsid w:val="007555F6"/>
    <w:rsid w:val="007602C7"/>
    <w:rsid w:val="007604B8"/>
    <w:rsid w:val="00762362"/>
    <w:rsid w:val="007719E1"/>
    <w:rsid w:val="007728D9"/>
    <w:rsid w:val="007755A7"/>
    <w:rsid w:val="00786E73"/>
    <w:rsid w:val="007A0782"/>
    <w:rsid w:val="007A251A"/>
    <w:rsid w:val="007A7B88"/>
    <w:rsid w:val="007B2E59"/>
    <w:rsid w:val="007B3EDF"/>
    <w:rsid w:val="007C2529"/>
    <w:rsid w:val="007F1BC1"/>
    <w:rsid w:val="007F2718"/>
    <w:rsid w:val="007F6AFB"/>
    <w:rsid w:val="00805519"/>
    <w:rsid w:val="00814297"/>
    <w:rsid w:val="00814976"/>
    <w:rsid w:val="00815890"/>
    <w:rsid w:val="00817DF3"/>
    <w:rsid w:val="00823CEC"/>
    <w:rsid w:val="008247D6"/>
    <w:rsid w:val="00826B5A"/>
    <w:rsid w:val="00830254"/>
    <w:rsid w:val="00830C8D"/>
    <w:rsid w:val="008322EC"/>
    <w:rsid w:val="00845562"/>
    <w:rsid w:val="00847C39"/>
    <w:rsid w:val="00851654"/>
    <w:rsid w:val="00856D43"/>
    <w:rsid w:val="00876133"/>
    <w:rsid w:val="0087644D"/>
    <w:rsid w:val="00876C08"/>
    <w:rsid w:val="0087731A"/>
    <w:rsid w:val="00882FED"/>
    <w:rsid w:val="008876D0"/>
    <w:rsid w:val="00890EEB"/>
    <w:rsid w:val="00893684"/>
    <w:rsid w:val="00896C2C"/>
    <w:rsid w:val="008B2904"/>
    <w:rsid w:val="008B3D1B"/>
    <w:rsid w:val="008C717F"/>
    <w:rsid w:val="008D0727"/>
    <w:rsid w:val="008D161D"/>
    <w:rsid w:val="008D755C"/>
    <w:rsid w:val="008E6314"/>
    <w:rsid w:val="008E63A0"/>
    <w:rsid w:val="008F1B30"/>
    <w:rsid w:val="008F25D4"/>
    <w:rsid w:val="008F5FB8"/>
    <w:rsid w:val="009071A0"/>
    <w:rsid w:val="00921C66"/>
    <w:rsid w:val="00922186"/>
    <w:rsid w:val="00925676"/>
    <w:rsid w:val="00930224"/>
    <w:rsid w:val="0093425F"/>
    <w:rsid w:val="00946AB5"/>
    <w:rsid w:val="00954537"/>
    <w:rsid w:val="00971024"/>
    <w:rsid w:val="00976646"/>
    <w:rsid w:val="00985017"/>
    <w:rsid w:val="00986E22"/>
    <w:rsid w:val="009921CC"/>
    <w:rsid w:val="00994CB4"/>
    <w:rsid w:val="009A356C"/>
    <w:rsid w:val="009B0D59"/>
    <w:rsid w:val="009B0E43"/>
    <w:rsid w:val="009E0090"/>
    <w:rsid w:val="009E60E6"/>
    <w:rsid w:val="009F5D32"/>
    <w:rsid w:val="009F6AB2"/>
    <w:rsid w:val="009F74D3"/>
    <w:rsid w:val="009F7C44"/>
    <w:rsid w:val="00A01B2B"/>
    <w:rsid w:val="00A05407"/>
    <w:rsid w:val="00A102C1"/>
    <w:rsid w:val="00A106D0"/>
    <w:rsid w:val="00A12490"/>
    <w:rsid w:val="00A12A41"/>
    <w:rsid w:val="00A164A5"/>
    <w:rsid w:val="00A24710"/>
    <w:rsid w:val="00A3188B"/>
    <w:rsid w:val="00A3259F"/>
    <w:rsid w:val="00A4028C"/>
    <w:rsid w:val="00A408EB"/>
    <w:rsid w:val="00A449CA"/>
    <w:rsid w:val="00A45F0B"/>
    <w:rsid w:val="00A47285"/>
    <w:rsid w:val="00A51F1C"/>
    <w:rsid w:val="00A56334"/>
    <w:rsid w:val="00A61735"/>
    <w:rsid w:val="00A71A09"/>
    <w:rsid w:val="00A8079B"/>
    <w:rsid w:val="00A823F9"/>
    <w:rsid w:val="00A90AAD"/>
    <w:rsid w:val="00A9721D"/>
    <w:rsid w:val="00AA7138"/>
    <w:rsid w:val="00AC323D"/>
    <w:rsid w:val="00AD1249"/>
    <w:rsid w:val="00AD7758"/>
    <w:rsid w:val="00AE0379"/>
    <w:rsid w:val="00AE2509"/>
    <w:rsid w:val="00AE5C75"/>
    <w:rsid w:val="00AE6A49"/>
    <w:rsid w:val="00AF06CE"/>
    <w:rsid w:val="00AF13AC"/>
    <w:rsid w:val="00AF30E5"/>
    <w:rsid w:val="00B01193"/>
    <w:rsid w:val="00B10C2D"/>
    <w:rsid w:val="00B118B0"/>
    <w:rsid w:val="00B15156"/>
    <w:rsid w:val="00B30B10"/>
    <w:rsid w:val="00B41238"/>
    <w:rsid w:val="00B423C0"/>
    <w:rsid w:val="00B424E7"/>
    <w:rsid w:val="00B43161"/>
    <w:rsid w:val="00B4335D"/>
    <w:rsid w:val="00B43CB4"/>
    <w:rsid w:val="00B461C6"/>
    <w:rsid w:val="00B53BC3"/>
    <w:rsid w:val="00B6053F"/>
    <w:rsid w:val="00B7312C"/>
    <w:rsid w:val="00B76E3D"/>
    <w:rsid w:val="00B8404C"/>
    <w:rsid w:val="00BA0DB4"/>
    <w:rsid w:val="00BB088B"/>
    <w:rsid w:val="00BB2E4E"/>
    <w:rsid w:val="00BB43E2"/>
    <w:rsid w:val="00BB7896"/>
    <w:rsid w:val="00BC1953"/>
    <w:rsid w:val="00BC209C"/>
    <w:rsid w:val="00BD1896"/>
    <w:rsid w:val="00BD4A95"/>
    <w:rsid w:val="00BD76F7"/>
    <w:rsid w:val="00BD7817"/>
    <w:rsid w:val="00BE2D3E"/>
    <w:rsid w:val="00BE5366"/>
    <w:rsid w:val="00BE6447"/>
    <w:rsid w:val="00BF0ABC"/>
    <w:rsid w:val="00BF2F88"/>
    <w:rsid w:val="00C01A28"/>
    <w:rsid w:val="00C01BFB"/>
    <w:rsid w:val="00C0490B"/>
    <w:rsid w:val="00C27856"/>
    <w:rsid w:val="00C30367"/>
    <w:rsid w:val="00C41156"/>
    <w:rsid w:val="00C52651"/>
    <w:rsid w:val="00C52FCD"/>
    <w:rsid w:val="00C552FB"/>
    <w:rsid w:val="00C72B9E"/>
    <w:rsid w:val="00C8133F"/>
    <w:rsid w:val="00C820F1"/>
    <w:rsid w:val="00C96E1F"/>
    <w:rsid w:val="00C972CE"/>
    <w:rsid w:val="00C9741D"/>
    <w:rsid w:val="00CB19EE"/>
    <w:rsid w:val="00CB53F4"/>
    <w:rsid w:val="00CC3ED1"/>
    <w:rsid w:val="00CD5114"/>
    <w:rsid w:val="00CD6426"/>
    <w:rsid w:val="00CE1CD0"/>
    <w:rsid w:val="00CF4B63"/>
    <w:rsid w:val="00CF7954"/>
    <w:rsid w:val="00D013A3"/>
    <w:rsid w:val="00D05144"/>
    <w:rsid w:val="00D24A98"/>
    <w:rsid w:val="00D336EA"/>
    <w:rsid w:val="00D35F3C"/>
    <w:rsid w:val="00D35FE5"/>
    <w:rsid w:val="00D622BF"/>
    <w:rsid w:val="00D62735"/>
    <w:rsid w:val="00D63514"/>
    <w:rsid w:val="00D64F71"/>
    <w:rsid w:val="00D672EA"/>
    <w:rsid w:val="00D732CD"/>
    <w:rsid w:val="00D76691"/>
    <w:rsid w:val="00D8413D"/>
    <w:rsid w:val="00D8628D"/>
    <w:rsid w:val="00D92D91"/>
    <w:rsid w:val="00DA5F29"/>
    <w:rsid w:val="00DB1DA1"/>
    <w:rsid w:val="00DB2B1C"/>
    <w:rsid w:val="00DB59B9"/>
    <w:rsid w:val="00DC2CF1"/>
    <w:rsid w:val="00DC2F2F"/>
    <w:rsid w:val="00DC55EE"/>
    <w:rsid w:val="00DC71C6"/>
    <w:rsid w:val="00DC7C83"/>
    <w:rsid w:val="00DD010E"/>
    <w:rsid w:val="00DD0C29"/>
    <w:rsid w:val="00DE12E1"/>
    <w:rsid w:val="00DE7059"/>
    <w:rsid w:val="00DF4695"/>
    <w:rsid w:val="00E010E2"/>
    <w:rsid w:val="00E01EBE"/>
    <w:rsid w:val="00E048E6"/>
    <w:rsid w:val="00E10D66"/>
    <w:rsid w:val="00E22529"/>
    <w:rsid w:val="00E338E6"/>
    <w:rsid w:val="00E44B4F"/>
    <w:rsid w:val="00E44E0D"/>
    <w:rsid w:val="00E46F9F"/>
    <w:rsid w:val="00E53A7D"/>
    <w:rsid w:val="00E60714"/>
    <w:rsid w:val="00E62DC7"/>
    <w:rsid w:val="00E64E5A"/>
    <w:rsid w:val="00E657EC"/>
    <w:rsid w:val="00E6634F"/>
    <w:rsid w:val="00E7400D"/>
    <w:rsid w:val="00E74739"/>
    <w:rsid w:val="00E8359D"/>
    <w:rsid w:val="00E85A91"/>
    <w:rsid w:val="00E950FA"/>
    <w:rsid w:val="00E95464"/>
    <w:rsid w:val="00E9687A"/>
    <w:rsid w:val="00E971FD"/>
    <w:rsid w:val="00EA585A"/>
    <w:rsid w:val="00EA6C18"/>
    <w:rsid w:val="00EB35F0"/>
    <w:rsid w:val="00EB7A23"/>
    <w:rsid w:val="00ED2F00"/>
    <w:rsid w:val="00ED607E"/>
    <w:rsid w:val="00EE0D79"/>
    <w:rsid w:val="00EE11D7"/>
    <w:rsid w:val="00EF1676"/>
    <w:rsid w:val="00EF24AD"/>
    <w:rsid w:val="00EF4072"/>
    <w:rsid w:val="00F01CA9"/>
    <w:rsid w:val="00F0797B"/>
    <w:rsid w:val="00F20542"/>
    <w:rsid w:val="00F26C65"/>
    <w:rsid w:val="00F26E1E"/>
    <w:rsid w:val="00F37799"/>
    <w:rsid w:val="00F408E6"/>
    <w:rsid w:val="00F4236D"/>
    <w:rsid w:val="00F54328"/>
    <w:rsid w:val="00F5491A"/>
    <w:rsid w:val="00F574E4"/>
    <w:rsid w:val="00F61127"/>
    <w:rsid w:val="00F83AD0"/>
    <w:rsid w:val="00F849CE"/>
    <w:rsid w:val="00F8631C"/>
    <w:rsid w:val="00FA0AE4"/>
    <w:rsid w:val="00FA6CC6"/>
    <w:rsid w:val="00FB2504"/>
    <w:rsid w:val="00FC1374"/>
    <w:rsid w:val="00FC6E62"/>
    <w:rsid w:val="00FD0E77"/>
    <w:rsid w:val="00FF33C7"/>
    <w:rsid w:val="00FF3CA6"/>
    <w:rsid w:val="00FF6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83AD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64E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4E5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E573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C3C"/>
    <w:pPr>
      <w:ind w:left="720"/>
      <w:contextualSpacing/>
    </w:pPr>
  </w:style>
  <w:style w:type="paragraph" w:styleId="BalloonText">
    <w:name w:val="Balloon Text"/>
    <w:basedOn w:val="Normal"/>
    <w:link w:val="BalloonTextChar"/>
    <w:uiPriority w:val="99"/>
    <w:semiHidden/>
    <w:unhideWhenUsed/>
    <w:rsid w:val="000F0C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CCA"/>
    <w:rPr>
      <w:rFonts w:ascii="Tahoma" w:hAnsi="Tahoma" w:cs="Tahoma"/>
      <w:sz w:val="16"/>
      <w:szCs w:val="16"/>
    </w:rPr>
  </w:style>
  <w:style w:type="paragraph" w:styleId="Caption">
    <w:name w:val="caption"/>
    <w:basedOn w:val="Normal"/>
    <w:next w:val="Normal"/>
    <w:uiPriority w:val="35"/>
    <w:unhideWhenUsed/>
    <w:qFormat/>
    <w:rsid w:val="005946AB"/>
    <w:pPr>
      <w:spacing w:line="240" w:lineRule="auto"/>
    </w:pPr>
    <w:rPr>
      <w:b/>
      <w:bCs/>
      <w:color w:val="4F81BD" w:themeColor="accent1"/>
      <w:sz w:val="18"/>
      <w:szCs w:val="18"/>
    </w:rPr>
  </w:style>
  <w:style w:type="paragraph" w:styleId="NoSpacing">
    <w:name w:val="No Spacing"/>
    <w:uiPriority w:val="1"/>
    <w:qFormat/>
    <w:rsid w:val="00CB53F4"/>
    <w:pPr>
      <w:spacing w:after="0" w:line="240" w:lineRule="auto"/>
    </w:pPr>
    <w:rPr>
      <w:rFonts w:ascii="Calibri" w:eastAsia="Calibri" w:hAnsi="Calibri" w:cs="Calibri"/>
    </w:rPr>
  </w:style>
  <w:style w:type="table" w:styleId="TableGrid">
    <w:name w:val="Table Grid"/>
    <w:basedOn w:val="TableNormal"/>
    <w:uiPriority w:val="59"/>
    <w:rsid w:val="001E67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25676"/>
    <w:rPr>
      <w:sz w:val="16"/>
      <w:szCs w:val="16"/>
    </w:rPr>
  </w:style>
  <w:style w:type="paragraph" w:styleId="CommentText">
    <w:name w:val="annotation text"/>
    <w:basedOn w:val="Normal"/>
    <w:link w:val="CommentTextChar"/>
    <w:uiPriority w:val="99"/>
    <w:semiHidden/>
    <w:unhideWhenUsed/>
    <w:rsid w:val="00925676"/>
    <w:pPr>
      <w:spacing w:line="240" w:lineRule="auto"/>
    </w:pPr>
    <w:rPr>
      <w:sz w:val="20"/>
      <w:szCs w:val="20"/>
    </w:rPr>
  </w:style>
  <w:style w:type="character" w:customStyle="1" w:styleId="CommentTextChar">
    <w:name w:val="Comment Text Char"/>
    <w:basedOn w:val="DefaultParagraphFont"/>
    <w:link w:val="CommentText"/>
    <w:uiPriority w:val="99"/>
    <w:semiHidden/>
    <w:rsid w:val="00925676"/>
    <w:rPr>
      <w:sz w:val="20"/>
      <w:szCs w:val="20"/>
    </w:rPr>
  </w:style>
  <w:style w:type="paragraph" w:styleId="CommentSubject">
    <w:name w:val="annotation subject"/>
    <w:basedOn w:val="CommentText"/>
    <w:next w:val="CommentText"/>
    <w:link w:val="CommentSubjectChar"/>
    <w:uiPriority w:val="99"/>
    <w:semiHidden/>
    <w:unhideWhenUsed/>
    <w:rsid w:val="00925676"/>
    <w:rPr>
      <w:b/>
      <w:bCs/>
    </w:rPr>
  </w:style>
  <w:style w:type="character" w:customStyle="1" w:styleId="CommentSubjectChar">
    <w:name w:val="Comment Subject Char"/>
    <w:basedOn w:val="CommentTextChar"/>
    <w:link w:val="CommentSubject"/>
    <w:uiPriority w:val="99"/>
    <w:semiHidden/>
    <w:rsid w:val="00925676"/>
    <w:rPr>
      <w:b/>
      <w:bCs/>
      <w:sz w:val="20"/>
      <w:szCs w:val="20"/>
    </w:rPr>
  </w:style>
  <w:style w:type="paragraph" w:customStyle="1" w:styleId="Default">
    <w:name w:val="Default"/>
    <w:rsid w:val="00BC209C"/>
    <w:pPr>
      <w:autoSpaceDE w:val="0"/>
      <w:autoSpaceDN w:val="0"/>
      <w:adjustRightInd w:val="0"/>
      <w:spacing w:after="0" w:line="240" w:lineRule="auto"/>
    </w:pPr>
    <w:rPr>
      <w:rFonts w:ascii="Times New Roman" w:hAnsi="Times New Roman" w:cs="Times New Roman"/>
      <w:color w:val="000000"/>
      <w:sz w:val="24"/>
      <w:szCs w:val="24"/>
    </w:rPr>
  </w:style>
  <w:style w:type="table" w:styleId="LightShading-Accent5">
    <w:name w:val="Light Shading Accent 5"/>
    <w:basedOn w:val="TableNormal"/>
    <w:uiPriority w:val="60"/>
    <w:rsid w:val="00364FA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2-Accent5">
    <w:name w:val="Medium Grid 2 Accent 5"/>
    <w:basedOn w:val="TableNormal"/>
    <w:uiPriority w:val="68"/>
    <w:rsid w:val="00364FA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1Char">
    <w:name w:val="Heading 1 Char"/>
    <w:basedOn w:val="DefaultParagraphFont"/>
    <w:link w:val="Heading1"/>
    <w:uiPriority w:val="9"/>
    <w:rsid w:val="00F83AD0"/>
    <w:rPr>
      <w:rFonts w:ascii="Times New Roman" w:eastAsia="Times New Roman" w:hAnsi="Times New Roman" w:cs="Times New Roman"/>
      <w:b/>
      <w:bCs/>
      <w:kern w:val="36"/>
      <w:sz w:val="48"/>
      <w:szCs w:val="48"/>
      <w:lang w:eastAsia="en-GB"/>
    </w:rPr>
  </w:style>
  <w:style w:type="character" w:customStyle="1" w:styleId="fn">
    <w:name w:val="fn"/>
    <w:basedOn w:val="DefaultParagraphFont"/>
    <w:rsid w:val="00F83AD0"/>
  </w:style>
  <w:style w:type="character" w:customStyle="1" w:styleId="Subtitle1">
    <w:name w:val="Subtitle1"/>
    <w:basedOn w:val="DefaultParagraphFont"/>
    <w:rsid w:val="00F83AD0"/>
  </w:style>
  <w:style w:type="paragraph" w:styleId="NormalWeb">
    <w:name w:val="Normal (Web)"/>
    <w:basedOn w:val="Normal"/>
    <w:uiPriority w:val="99"/>
    <w:unhideWhenUsed/>
    <w:rsid w:val="001269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0E5730"/>
    <w:rPr>
      <w:rFonts w:asciiTheme="majorHAnsi" w:eastAsiaTheme="majorEastAsia" w:hAnsiTheme="majorHAnsi" w:cstheme="majorBidi"/>
      <w:b/>
      <w:bCs/>
      <w:i/>
      <w:iCs/>
      <w:color w:val="4F81BD" w:themeColor="accent1"/>
    </w:rPr>
  </w:style>
  <w:style w:type="character" w:styleId="PlaceholderText">
    <w:name w:val="Placeholder Text"/>
    <w:basedOn w:val="DefaultParagraphFont"/>
    <w:uiPriority w:val="99"/>
    <w:semiHidden/>
    <w:rsid w:val="00D63514"/>
    <w:rPr>
      <w:color w:val="808080"/>
    </w:rPr>
  </w:style>
  <w:style w:type="paragraph" w:styleId="Title">
    <w:name w:val="Title"/>
    <w:basedOn w:val="Normal"/>
    <w:next w:val="Normal"/>
    <w:link w:val="TitleChar"/>
    <w:uiPriority w:val="10"/>
    <w:qFormat/>
    <w:rsid w:val="00E64E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64E5A"/>
    <w:rPr>
      <w:rFonts w:asciiTheme="majorHAnsi" w:eastAsiaTheme="majorEastAsia" w:hAnsiTheme="majorHAnsi" w:cstheme="majorBidi"/>
      <w:color w:val="17365D" w:themeColor="text2" w:themeShade="BF"/>
      <w:spacing w:val="5"/>
      <w:kern w:val="28"/>
      <w:sz w:val="52"/>
      <w:szCs w:val="52"/>
    </w:rPr>
  </w:style>
  <w:style w:type="numbering" w:customStyle="1" w:styleId="CharlieCalibriDefault">
    <w:name w:val="Charlie Calibri Default"/>
    <w:uiPriority w:val="99"/>
    <w:rsid w:val="00E64E5A"/>
    <w:pPr>
      <w:numPr>
        <w:numId w:val="14"/>
      </w:numPr>
    </w:pPr>
  </w:style>
  <w:style w:type="character" w:customStyle="1" w:styleId="Heading2Char">
    <w:name w:val="Heading 2 Char"/>
    <w:basedOn w:val="DefaultParagraphFont"/>
    <w:link w:val="Heading2"/>
    <w:uiPriority w:val="9"/>
    <w:rsid w:val="00E64E5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64E5A"/>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B4335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2">
    <w:name w:val="toc 2"/>
    <w:basedOn w:val="Normal"/>
    <w:next w:val="Normal"/>
    <w:autoRedefine/>
    <w:uiPriority w:val="39"/>
    <w:unhideWhenUsed/>
    <w:rsid w:val="00B4335D"/>
    <w:pPr>
      <w:spacing w:after="100"/>
      <w:ind w:left="220"/>
    </w:pPr>
  </w:style>
  <w:style w:type="paragraph" w:styleId="TOC3">
    <w:name w:val="toc 3"/>
    <w:basedOn w:val="Normal"/>
    <w:next w:val="Normal"/>
    <w:autoRedefine/>
    <w:uiPriority w:val="39"/>
    <w:unhideWhenUsed/>
    <w:rsid w:val="00B4335D"/>
    <w:pPr>
      <w:spacing w:after="100"/>
      <w:ind w:left="440"/>
    </w:pPr>
  </w:style>
  <w:style w:type="character" w:styleId="Hyperlink">
    <w:name w:val="Hyperlink"/>
    <w:basedOn w:val="DefaultParagraphFont"/>
    <w:uiPriority w:val="99"/>
    <w:unhideWhenUsed/>
    <w:rsid w:val="00B4335D"/>
    <w:rPr>
      <w:color w:val="0000FF" w:themeColor="hyperlink"/>
      <w:u w:val="single"/>
    </w:rPr>
  </w:style>
  <w:style w:type="paragraph" w:styleId="TableofFigures">
    <w:name w:val="table of figures"/>
    <w:basedOn w:val="Normal"/>
    <w:next w:val="Normal"/>
    <w:uiPriority w:val="99"/>
    <w:unhideWhenUsed/>
    <w:rsid w:val="00B4335D"/>
    <w:pPr>
      <w:spacing w:after="0"/>
    </w:pPr>
  </w:style>
  <w:style w:type="character" w:customStyle="1" w:styleId="personname">
    <w:name w:val="person_name"/>
    <w:basedOn w:val="DefaultParagraphFont"/>
    <w:rsid w:val="003222ED"/>
  </w:style>
  <w:style w:type="character" w:styleId="Emphasis">
    <w:name w:val="Emphasis"/>
    <w:basedOn w:val="DefaultParagraphFont"/>
    <w:uiPriority w:val="20"/>
    <w:qFormat/>
    <w:rsid w:val="003222ED"/>
    <w:rPr>
      <w:i/>
      <w:iCs/>
    </w:rPr>
  </w:style>
  <w:style w:type="character" w:styleId="HTMLCite">
    <w:name w:val="HTML Cite"/>
    <w:basedOn w:val="DefaultParagraphFont"/>
    <w:uiPriority w:val="99"/>
    <w:semiHidden/>
    <w:unhideWhenUsed/>
    <w:rsid w:val="00EE11D7"/>
    <w:rPr>
      <w:i/>
      <w:iCs/>
    </w:rPr>
  </w:style>
  <w:style w:type="character" w:customStyle="1" w:styleId="author">
    <w:name w:val="author"/>
    <w:basedOn w:val="DefaultParagraphFont"/>
    <w:rsid w:val="00EE11D7"/>
  </w:style>
  <w:style w:type="character" w:customStyle="1" w:styleId="pubyear">
    <w:name w:val="pubyear"/>
    <w:basedOn w:val="DefaultParagraphFont"/>
    <w:rsid w:val="00EE11D7"/>
  </w:style>
  <w:style w:type="character" w:customStyle="1" w:styleId="articletitle">
    <w:name w:val="articletitle"/>
    <w:basedOn w:val="DefaultParagraphFont"/>
    <w:rsid w:val="00EE11D7"/>
  </w:style>
  <w:style w:type="character" w:customStyle="1" w:styleId="journaltitle">
    <w:name w:val="journaltitle"/>
    <w:basedOn w:val="DefaultParagraphFont"/>
    <w:rsid w:val="00EE11D7"/>
  </w:style>
  <w:style w:type="character" w:customStyle="1" w:styleId="vol">
    <w:name w:val="vol"/>
    <w:basedOn w:val="DefaultParagraphFont"/>
    <w:rsid w:val="00EE11D7"/>
  </w:style>
  <w:style w:type="character" w:customStyle="1" w:styleId="citedissue">
    <w:name w:val="citedissue"/>
    <w:basedOn w:val="DefaultParagraphFont"/>
    <w:rsid w:val="00EE11D7"/>
  </w:style>
  <w:style w:type="character" w:customStyle="1" w:styleId="pagefirst">
    <w:name w:val="pagefirst"/>
    <w:basedOn w:val="DefaultParagraphFont"/>
    <w:rsid w:val="00EE11D7"/>
  </w:style>
  <w:style w:type="character" w:customStyle="1" w:styleId="pagelast">
    <w:name w:val="pagelast"/>
    <w:basedOn w:val="DefaultParagraphFont"/>
    <w:rsid w:val="00EE11D7"/>
  </w:style>
  <w:style w:type="paragraph" w:styleId="Header">
    <w:name w:val="header"/>
    <w:basedOn w:val="Normal"/>
    <w:link w:val="HeaderChar"/>
    <w:uiPriority w:val="99"/>
    <w:unhideWhenUsed/>
    <w:rsid w:val="00E950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50FA"/>
  </w:style>
  <w:style w:type="paragraph" w:styleId="Footer">
    <w:name w:val="footer"/>
    <w:basedOn w:val="Normal"/>
    <w:link w:val="FooterChar"/>
    <w:uiPriority w:val="99"/>
    <w:unhideWhenUsed/>
    <w:rsid w:val="00E950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50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83AD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64E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4E5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E573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C3C"/>
    <w:pPr>
      <w:ind w:left="720"/>
      <w:contextualSpacing/>
    </w:pPr>
  </w:style>
  <w:style w:type="paragraph" w:styleId="BalloonText">
    <w:name w:val="Balloon Text"/>
    <w:basedOn w:val="Normal"/>
    <w:link w:val="BalloonTextChar"/>
    <w:uiPriority w:val="99"/>
    <w:semiHidden/>
    <w:unhideWhenUsed/>
    <w:rsid w:val="000F0C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CCA"/>
    <w:rPr>
      <w:rFonts w:ascii="Tahoma" w:hAnsi="Tahoma" w:cs="Tahoma"/>
      <w:sz w:val="16"/>
      <w:szCs w:val="16"/>
    </w:rPr>
  </w:style>
  <w:style w:type="paragraph" w:styleId="Caption">
    <w:name w:val="caption"/>
    <w:basedOn w:val="Normal"/>
    <w:next w:val="Normal"/>
    <w:uiPriority w:val="35"/>
    <w:unhideWhenUsed/>
    <w:qFormat/>
    <w:rsid w:val="005946AB"/>
    <w:pPr>
      <w:spacing w:line="240" w:lineRule="auto"/>
    </w:pPr>
    <w:rPr>
      <w:b/>
      <w:bCs/>
      <w:color w:val="4F81BD" w:themeColor="accent1"/>
      <w:sz w:val="18"/>
      <w:szCs w:val="18"/>
    </w:rPr>
  </w:style>
  <w:style w:type="paragraph" w:styleId="NoSpacing">
    <w:name w:val="No Spacing"/>
    <w:uiPriority w:val="1"/>
    <w:qFormat/>
    <w:rsid w:val="00CB53F4"/>
    <w:pPr>
      <w:spacing w:after="0" w:line="240" w:lineRule="auto"/>
    </w:pPr>
    <w:rPr>
      <w:rFonts w:ascii="Calibri" w:eastAsia="Calibri" w:hAnsi="Calibri" w:cs="Calibri"/>
    </w:rPr>
  </w:style>
  <w:style w:type="table" w:styleId="TableGrid">
    <w:name w:val="Table Grid"/>
    <w:basedOn w:val="TableNormal"/>
    <w:uiPriority w:val="59"/>
    <w:rsid w:val="001E67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25676"/>
    <w:rPr>
      <w:sz w:val="16"/>
      <w:szCs w:val="16"/>
    </w:rPr>
  </w:style>
  <w:style w:type="paragraph" w:styleId="CommentText">
    <w:name w:val="annotation text"/>
    <w:basedOn w:val="Normal"/>
    <w:link w:val="CommentTextChar"/>
    <w:uiPriority w:val="99"/>
    <w:semiHidden/>
    <w:unhideWhenUsed/>
    <w:rsid w:val="00925676"/>
    <w:pPr>
      <w:spacing w:line="240" w:lineRule="auto"/>
    </w:pPr>
    <w:rPr>
      <w:sz w:val="20"/>
      <w:szCs w:val="20"/>
    </w:rPr>
  </w:style>
  <w:style w:type="character" w:customStyle="1" w:styleId="CommentTextChar">
    <w:name w:val="Comment Text Char"/>
    <w:basedOn w:val="DefaultParagraphFont"/>
    <w:link w:val="CommentText"/>
    <w:uiPriority w:val="99"/>
    <w:semiHidden/>
    <w:rsid w:val="00925676"/>
    <w:rPr>
      <w:sz w:val="20"/>
      <w:szCs w:val="20"/>
    </w:rPr>
  </w:style>
  <w:style w:type="paragraph" w:styleId="CommentSubject">
    <w:name w:val="annotation subject"/>
    <w:basedOn w:val="CommentText"/>
    <w:next w:val="CommentText"/>
    <w:link w:val="CommentSubjectChar"/>
    <w:uiPriority w:val="99"/>
    <w:semiHidden/>
    <w:unhideWhenUsed/>
    <w:rsid w:val="00925676"/>
    <w:rPr>
      <w:b/>
      <w:bCs/>
    </w:rPr>
  </w:style>
  <w:style w:type="character" w:customStyle="1" w:styleId="CommentSubjectChar">
    <w:name w:val="Comment Subject Char"/>
    <w:basedOn w:val="CommentTextChar"/>
    <w:link w:val="CommentSubject"/>
    <w:uiPriority w:val="99"/>
    <w:semiHidden/>
    <w:rsid w:val="00925676"/>
    <w:rPr>
      <w:b/>
      <w:bCs/>
      <w:sz w:val="20"/>
      <w:szCs w:val="20"/>
    </w:rPr>
  </w:style>
  <w:style w:type="paragraph" w:customStyle="1" w:styleId="Default">
    <w:name w:val="Default"/>
    <w:rsid w:val="00BC209C"/>
    <w:pPr>
      <w:autoSpaceDE w:val="0"/>
      <w:autoSpaceDN w:val="0"/>
      <w:adjustRightInd w:val="0"/>
      <w:spacing w:after="0" w:line="240" w:lineRule="auto"/>
    </w:pPr>
    <w:rPr>
      <w:rFonts w:ascii="Times New Roman" w:hAnsi="Times New Roman" w:cs="Times New Roman"/>
      <w:color w:val="000000"/>
      <w:sz w:val="24"/>
      <w:szCs w:val="24"/>
    </w:rPr>
  </w:style>
  <w:style w:type="table" w:styleId="LightShading-Accent5">
    <w:name w:val="Light Shading Accent 5"/>
    <w:basedOn w:val="TableNormal"/>
    <w:uiPriority w:val="60"/>
    <w:rsid w:val="00364FA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2-Accent5">
    <w:name w:val="Medium Grid 2 Accent 5"/>
    <w:basedOn w:val="TableNormal"/>
    <w:uiPriority w:val="68"/>
    <w:rsid w:val="00364FA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1Char">
    <w:name w:val="Heading 1 Char"/>
    <w:basedOn w:val="DefaultParagraphFont"/>
    <w:link w:val="Heading1"/>
    <w:uiPriority w:val="9"/>
    <w:rsid w:val="00F83AD0"/>
    <w:rPr>
      <w:rFonts w:ascii="Times New Roman" w:eastAsia="Times New Roman" w:hAnsi="Times New Roman" w:cs="Times New Roman"/>
      <w:b/>
      <w:bCs/>
      <w:kern w:val="36"/>
      <w:sz w:val="48"/>
      <w:szCs w:val="48"/>
      <w:lang w:eastAsia="en-GB"/>
    </w:rPr>
  </w:style>
  <w:style w:type="character" w:customStyle="1" w:styleId="fn">
    <w:name w:val="fn"/>
    <w:basedOn w:val="DefaultParagraphFont"/>
    <w:rsid w:val="00F83AD0"/>
  </w:style>
  <w:style w:type="character" w:customStyle="1" w:styleId="Subtitle1">
    <w:name w:val="Subtitle1"/>
    <w:basedOn w:val="DefaultParagraphFont"/>
    <w:rsid w:val="00F83AD0"/>
  </w:style>
  <w:style w:type="paragraph" w:styleId="NormalWeb">
    <w:name w:val="Normal (Web)"/>
    <w:basedOn w:val="Normal"/>
    <w:uiPriority w:val="99"/>
    <w:unhideWhenUsed/>
    <w:rsid w:val="001269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0E5730"/>
    <w:rPr>
      <w:rFonts w:asciiTheme="majorHAnsi" w:eastAsiaTheme="majorEastAsia" w:hAnsiTheme="majorHAnsi" w:cstheme="majorBidi"/>
      <w:b/>
      <w:bCs/>
      <w:i/>
      <w:iCs/>
      <w:color w:val="4F81BD" w:themeColor="accent1"/>
    </w:rPr>
  </w:style>
  <w:style w:type="character" w:styleId="PlaceholderText">
    <w:name w:val="Placeholder Text"/>
    <w:basedOn w:val="DefaultParagraphFont"/>
    <w:uiPriority w:val="99"/>
    <w:semiHidden/>
    <w:rsid w:val="00D63514"/>
    <w:rPr>
      <w:color w:val="808080"/>
    </w:rPr>
  </w:style>
  <w:style w:type="paragraph" w:styleId="Title">
    <w:name w:val="Title"/>
    <w:basedOn w:val="Normal"/>
    <w:next w:val="Normal"/>
    <w:link w:val="TitleChar"/>
    <w:uiPriority w:val="10"/>
    <w:qFormat/>
    <w:rsid w:val="00E64E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64E5A"/>
    <w:rPr>
      <w:rFonts w:asciiTheme="majorHAnsi" w:eastAsiaTheme="majorEastAsia" w:hAnsiTheme="majorHAnsi" w:cstheme="majorBidi"/>
      <w:color w:val="17365D" w:themeColor="text2" w:themeShade="BF"/>
      <w:spacing w:val="5"/>
      <w:kern w:val="28"/>
      <w:sz w:val="52"/>
      <w:szCs w:val="52"/>
    </w:rPr>
  </w:style>
  <w:style w:type="numbering" w:customStyle="1" w:styleId="CharlieCalibriDefault">
    <w:name w:val="Charlie Calibri Default"/>
    <w:uiPriority w:val="99"/>
    <w:rsid w:val="00E64E5A"/>
    <w:pPr>
      <w:numPr>
        <w:numId w:val="14"/>
      </w:numPr>
    </w:pPr>
  </w:style>
  <w:style w:type="character" w:customStyle="1" w:styleId="Heading2Char">
    <w:name w:val="Heading 2 Char"/>
    <w:basedOn w:val="DefaultParagraphFont"/>
    <w:link w:val="Heading2"/>
    <w:uiPriority w:val="9"/>
    <w:rsid w:val="00E64E5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64E5A"/>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B4335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2">
    <w:name w:val="toc 2"/>
    <w:basedOn w:val="Normal"/>
    <w:next w:val="Normal"/>
    <w:autoRedefine/>
    <w:uiPriority w:val="39"/>
    <w:unhideWhenUsed/>
    <w:rsid w:val="00B4335D"/>
    <w:pPr>
      <w:spacing w:after="100"/>
      <w:ind w:left="220"/>
    </w:pPr>
  </w:style>
  <w:style w:type="paragraph" w:styleId="TOC3">
    <w:name w:val="toc 3"/>
    <w:basedOn w:val="Normal"/>
    <w:next w:val="Normal"/>
    <w:autoRedefine/>
    <w:uiPriority w:val="39"/>
    <w:unhideWhenUsed/>
    <w:rsid w:val="00B4335D"/>
    <w:pPr>
      <w:spacing w:after="100"/>
      <w:ind w:left="440"/>
    </w:pPr>
  </w:style>
  <w:style w:type="character" w:styleId="Hyperlink">
    <w:name w:val="Hyperlink"/>
    <w:basedOn w:val="DefaultParagraphFont"/>
    <w:uiPriority w:val="99"/>
    <w:unhideWhenUsed/>
    <w:rsid w:val="00B4335D"/>
    <w:rPr>
      <w:color w:val="0000FF" w:themeColor="hyperlink"/>
      <w:u w:val="single"/>
    </w:rPr>
  </w:style>
  <w:style w:type="paragraph" w:styleId="TableofFigures">
    <w:name w:val="table of figures"/>
    <w:basedOn w:val="Normal"/>
    <w:next w:val="Normal"/>
    <w:uiPriority w:val="99"/>
    <w:unhideWhenUsed/>
    <w:rsid w:val="00B4335D"/>
    <w:pPr>
      <w:spacing w:after="0"/>
    </w:pPr>
  </w:style>
  <w:style w:type="character" w:customStyle="1" w:styleId="personname">
    <w:name w:val="person_name"/>
    <w:basedOn w:val="DefaultParagraphFont"/>
    <w:rsid w:val="003222ED"/>
  </w:style>
  <w:style w:type="character" w:styleId="Emphasis">
    <w:name w:val="Emphasis"/>
    <w:basedOn w:val="DefaultParagraphFont"/>
    <w:uiPriority w:val="20"/>
    <w:qFormat/>
    <w:rsid w:val="003222ED"/>
    <w:rPr>
      <w:i/>
      <w:iCs/>
    </w:rPr>
  </w:style>
  <w:style w:type="character" w:styleId="HTMLCite">
    <w:name w:val="HTML Cite"/>
    <w:basedOn w:val="DefaultParagraphFont"/>
    <w:uiPriority w:val="99"/>
    <w:semiHidden/>
    <w:unhideWhenUsed/>
    <w:rsid w:val="00EE11D7"/>
    <w:rPr>
      <w:i/>
      <w:iCs/>
    </w:rPr>
  </w:style>
  <w:style w:type="character" w:customStyle="1" w:styleId="author">
    <w:name w:val="author"/>
    <w:basedOn w:val="DefaultParagraphFont"/>
    <w:rsid w:val="00EE11D7"/>
  </w:style>
  <w:style w:type="character" w:customStyle="1" w:styleId="pubyear">
    <w:name w:val="pubyear"/>
    <w:basedOn w:val="DefaultParagraphFont"/>
    <w:rsid w:val="00EE11D7"/>
  </w:style>
  <w:style w:type="character" w:customStyle="1" w:styleId="articletitle">
    <w:name w:val="articletitle"/>
    <w:basedOn w:val="DefaultParagraphFont"/>
    <w:rsid w:val="00EE11D7"/>
  </w:style>
  <w:style w:type="character" w:customStyle="1" w:styleId="journaltitle">
    <w:name w:val="journaltitle"/>
    <w:basedOn w:val="DefaultParagraphFont"/>
    <w:rsid w:val="00EE11D7"/>
  </w:style>
  <w:style w:type="character" w:customStyle="1" w:styleId="vol">
    <w:name w:val="vol"/>
    <w:basedOn w:val="DefaultParagraphFont"/>
    <w:rsid w:val="00EE11D7"/>
  </w:style>
  <w:style w:type="character" w:customStyle="1" w:styleId="citedissue">
    <w:name w:val="citedissue"/>
    <w:basedOn w:val="DefaultParagraphFont"/>
    <w:rsid w:val="00EE11D7"/>
  </w:style>
  <w:style w:type="character" w:customStyle="1" w:styleId="pagefirst">
    <w:name w:val="pagefirst"/>
    <w:basedOn w:val="DefaultParagraphFont"/>
    <w:rsid w:val="00EE11D7"/>
  </w:style>
  <w:style w:type="character" w:customStyle="1" w:styleId="pagelast">
    <w:name w:val="pagelast"/>
    <w:basedOn w:val="DefaultParagraphFont"/>
    <w:rsid w:val="00EE11D7"/>
  </w:style>
  <w:style w:type="paragraph" w:styleId="Header">
    <w:name w:val="header"/>
    <w:basedOn w:val="Normal"/>
    <w:link w:val="HeaderChar"/>
    <w:uiPriority w:val="99"/>
    <w:unhideWhenUsed/>
    <w:rsid w:val="00E950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50FA"/>
  </w:style>
  <w:style w:type="paragraph" w:styleId="Footer">
    <w:name w:val="footer"/>
    <w:basedOn w:val="Normal"/>
    <w:link w:val="FooterChar"/>
    <w:uiPriority w:val="99"/>
    <w:unhideWhenUsed/>
    <w:rsid w:val="00E950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5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06424">
      <w:bodyDiv w:val="1"/>
      <w:marLeft w:val="0"/>
      <w:marRight w:val="0"/>
      <w:marTop w:val="0"/>
      <w:marBottom w:val="0"/>
      <w:divBdr>
        <w:top w:val="none" w:sz="0" w:space="0" w:color="auto"/>
        <w:left w:val="none" w:sz="0" w:space="0" w:color="auto"/>
        <w:bottom w:val="none" w:sz="0" w:space="0" w:color="auto"/>
        <w:right w:val="none" w:sz="0" w:space="0" w:color="auto"/>
      </w:divBdr>
    </w:div>
    <w:div w:id="158277459">
      <w:bodyDiv w:val="1"/>
      <w:marLeft w:val="0"/>
      <w:marRight w:val="0"/>
      <w:marTop w:val="0"/>
      <w:marBottom w:val="0"/>
      <w:divBdr>
        <w:top w:val="none" w:sz="0" w:space="0" w:color="auto"/>
        <w:left w:val="none" w:sz="0" w:space="0" w:color="auto"/>
        <w:bottom w:val="none" w:sz="0" w:space="0" w:color="auto"/>
        <w:right w:val="none" w:sz="0" w:space="0" w:color="auto"/>
      </w:divBdr>
    </w:div>
    <w:div w:id="163863090">
      <w:bodyDiv w:val="1"/>
      <w:marLeft w:val="0"/>
      <w:marRight w:val="0"/>
      <w:marTop w:val="0"/>
      <w:marBottom w:val="0"/>
      <w:divBdr>
        <w:top w:val="none" w:sz="0" w:space="0" w:color="auto"/>
        <w:left w:val="none" w:sz="0" w:space="0" w:color="auto"/>
        <w:bottom w:val="none" w:sz="0" w:space="0" w:color="auto"/>
        <w:right w:val="none" w:sz="0" w:space="0" w:color="auto"/>
      </w:divBdr>
    </w:div>
    <w:div w:id="199518612">
      <w:bodyDiv w:val="1"/>
      <w:marLeft w:val="0"/>
      <w:marRight w:val="0"/>
      <w:marTop w:val="0"/>
      <w:marBottom w:val="0"/>
      <w:divBdr>
        <w:top w:val="none" w:sz="0" w:space="0" w:color="auto"/>
        <w:left w:val="none" w:sz="0" w:space="0" w:color="auto"/>
        <w:bottom w:val="none" w:sz="0" w:space="0" w:color="auto"/>
        <w:right w:val="none" w:sz="0" w:space="0" w:color="auto"/>
      </w:divBdr>
      <w:divsChild>
        <w:div w:id="798494841">
          <w:marLeft w:val="0"/>
          <w:marRight w:val="0"/>
          <w:marTop w:val="0"/>
          <w:marBottom w:val="0"/>
          <w:divBdr>
            <w:top w:val="none" w:sz="0" w:space="0" w:color="auto"/>
            <w:left w:val="none" w:sz="0" w:space="0" w:color="auto"/>
            <w:bottom w:val="none" w:sz="0" w:space="0" w:color="auto"/>
            <w:right w:val="none" w:sz="0" w:space="0" w:color="auto"/>
          </w:divBdr>
          <w:divsChild>
            <w:div w:id="1781680032">
              <w:marLeft w:val="0"/>
              <w:marRight w:val="0"/>
              <w:marTop w:val="0"/>
              <w:marBottom w:val="0"/>
              <w:divBdr>
                <w:top w:val="none" w:sz="0" w:space="0" w:color="auto"/>
                <w:left w:val="none" w:sz="0" w:space="0" w:color="auto"/>
                <w:bottom w:val="none" w:sz="0" w:space="0" w:color="auto"/>
                <w:right w:val="none" w:sz="0" w:space="0" w:color="auto"/>
              </w:divBdr>
            </w:div>
            <w:div w:id="1667660992">
              <w:marLeft w:val="0"/>
              <w:marRight w:val="0"/>
              <w:marTop w:val="0"/>
              <w:marBottom w:val="0"/>
              <w:divBdr>
                <w:top w:val="none" w:sz="0" w:space="0" w:color="auto"/>
                <w:left w:val="none" w:sz="0" w:space="0" w:color="auto"/>
                <w:bottom w:val="none" w:sz="0" w:space="0" w:color="auto"/>
                <w:right w:val="none" w:sz="0" w:space="0" w:color="auto"/>
              </w:divBdr>
            </w:div>
            <w:div w:id="1843354411">
              <w:marLeft w:val="0"/>
              <w:marRight w:val="0"/>
              <w:marTop w:val="0"/>
              <w:marBottom w:val="0"/>
              <w:divBdr>
                <w:top w:val="none" w:sz="0" w:space="0" w:color="auto"/>
                <w:left w:val="none" w:sz="0" w:space="0" w:color="auto"/>
                <w:bottom w:val="none" w:sz="0" w:space="0" w:color="auto"/>
                <w:right w:val="none" w:sz="0" w:space="0" w:color="auto"/>
              </w:divBdr>
            </w:div>
            <w:div w:id="857741947">
              <w:marLeft w:val="0"/>
              <w:marRight w:val="0"/>
              <w:marTop w:val="0"/>
              <w:marBottom w:val="0"/>
              <w:divBdr>
                <w:top w:val="none" w:sz="0" w:space="0" w:color="auto"/>
                <w:left w:val="none" w:sz="0" w:space="0" w:color="auto"/>
                <w:bottom w:val="none" w:sz="0" w:space="0" w:color="auto"/>
                <w:right w:val="none" w:sz="0" w:space="0" w:color="auto"/>
              </w:divBdr>
            </w:div>
            <w:div w:id="1896430819">
              <w:marLeft w:val="0"/>
              <w:marRight w:val="0"/>
              <w:marTop w:val="0"/>
              <w:marBottom w:val="0"/>
              <w:divBdr>
                <w:top w:val="none" w:sz="0" w:space="0" w:color="auto"/>
                <w:left w:val="none" w:sz="0" w:space="0" w:color="auto"/>
                <w:bottom w:val="none" w:sz="0" w:space="0" w:color="auto"/>
                <w:right w:val="none" w:sz="0" w:space="0" w:color="auto"/>
              </w:divBdr>
            </w:div>
            <w:div w:id="1922249107">
              <w:marLeft w:val="0"/>
              <w:marRight w:val="0"/>
              <w:marTop w:val="0"/>
              <w:marBottom w:val="0"/>
              <w:divBdr>
                <w:top w:val="none" w:sz="0" w:space="0" w:color="auto"/>
                <w:left w:val="none" w:sz="0" w:space="0" w:color="auto"/>
                <w:bottom w:val="none" w:sz="0" w:space="0" w:color="auto"/>
                <w:right w:val="none" w:sz="0" w:space="0" w:color="auto"/>
              </w:divBdr>
            </w:div>
            <w:div w:id="1592621280">
              <w:marLeft w:val="0"/>
              <w:marRight w:val="0"/>
              <w:marTop w:val="0"/>
              <w:marBottom w:val="0"/>
              <w:divBdr>
                <w:top w:val="none" w:sz="0" w:space="0" w:color="auto"/>
                <w:left w:val="none" w:sz="0" w:space="0" w:color="auto"/>
                <w:bottom w:val="none" w:sz="0" w:space="0" w:color="auto"/>
                <w:right w:val="none" w:sz="0" w:space="0" w:color="auto"/>
              </w:divBdr>
            </w:div>
            <w:div w:id="1129855796">
              <w:marLeft w:val="0"/>
              <w:marRight w:val="0"/>
              <w:marTop w:val="0"/>
              <w:marBottom w:val="0"/>
              <w:divBdr>
                <w:top w:val="none" w:sz="0" w:space="0" w:color="auto"/>
                <w:left w:val="none" w:sz="0" w:space="0" w:color="auto"/>
                <w:bottom w:val="none" w:sz="0" w:space="0" w:color="auto"/>
                <w:right w:val="none" w:sz="0" w:space="0" w:color="auto"/>
              </w:divBdr>
            </w:div>
            <w:div w:id="1637947196">
              <w:marLeft w:val="0"/>
              <w:marRight w:val="0"/>
              <w:marTop w:val="0"/>
              <w:marBottom w:val="0"/>
              <w:divBdr>
                <w:top w:val="none" w:sz="0" w:space="0" w:color="auto"/>
                <w:left w:val="none" w:sz="0" w:space="0" w:color="auto"/>
                <w:bottom w:val="none" w:sz="0" w:space="0" w:color="auto"/>
                <w:right w:val="none" w:sz="0" w:space="0" w:color="auto"/>
              </w:divBdr>
            </w:div>
            <w:div w:id="1991209097">
              <w:marLeft w:val="0"/>
              <w:marRight w:val="0"/>
              <w:marTop w:val="0"/>
              <w:marBottom w:val="0"/>
              <w:divBdr>
                <w:top w:val="none" w:sz="0" w:space="0" w:color="auto"/>
                <w:left w:val="none" w:sz="0" w:space="0" w:color="auto"/>
                <w:bottom w:val="none" w:sz="0" w:space="0" w:color="auto"/>
                <w:right w:val="none" w:sz="0" w:space="0" w:color="auto"/>
              </w:divBdr>
            </w:div>
            <w:div w:id="1633903622">
              <w:marLeft w:val="0"/>
              <w:marRight w:val="0"/>
              <w:marTop w:val="0"/>
              <w:marBottom w:val="0"/>
              <w:divBdr>
                <w:top w:val="none" w:sz="0" w:space="0" w:color="auto"/>
                <w:left w:val="none" w:sz="0" w:space="0" w:color="auto"/>
                <w:bottom w:val="none" w:sz="0" w:space="0" w:color="auto"/>
                <w:right w:val="none" w:sz="0" w:space="0" w:color="auto"/>
              </w:divBdr>
            </w:div>
            <w:div w:id="1556506918">
              <w:marLeft w:val="0"/>
              <w:marRight w:val="0"/>
              <w:marTop w:val="0"/>
              <w:marBottom w:val="0"/>
              <w:divBdr>
                <w:top w:val="none" w:sz="0" w:space="0" w:color="auto"/>
                <w:left w:val="none" w:sz="0" w:space="0" w:color="auto"/>
                <w:bottom w:val="none" w:sz="0" w:space="0" w:color="auto"/>
                <w:right w:val="none" w:sz="0" w:space="0" w:color="auto"/>
              </w:divBdr>
            </w:div>
            <w:div w:id="183444782">
              <w:marLeft w:val="0"/>
              <w:marRight w:val="0"/>
              <w:marTop w:val="0"/>
              <w:marBottom w:val="0"/>
              <w:divBdr>
                <w:top w:val="none" w:sz="0" w:space="0" w:color="auto"/>
                <w:left w:val="none" w:sz="0" w:space="0" w:color="auto"/>
                <w:bottom w:val="none" w:sz="0" w:space="0" w:color="auto"/>
                <w:right w:val="none" w:sz="0" w:space="0" w:color="auto"/>
              </w:divBdr>
            </w:div>
            <w:div w:id="1762750350">
              <w:marLeft w:val="0"/>
              <w:marRight w:val="0"/>
              <w:marTop w:val="0"/>
              <w:marBottom w:val="0"/>
              <w:divBdr>
                <w:top w:val="none" w:sz="0" w:space="0" w:color="auto"/>
                <w:left w:val="none" w:sz="0" w:space="0" w:color="auto"/>
                <w:bottom w:val="none" w:sz="0" w:space="0" w:color="auto"/>
                <w:right w:val="none" w:sz="0" w:space="0" w:color="auto"/>
              </w:divBdr>
            </w:div>
            <w:div w:id="970130115">
              <w:marLeft w:val="0"/>
              <w:marRight w:val="0"/>
              <w:marTop w:val="0"/>
              <w:marBottom w:val="0"/>
              <w:divBdr>
                <w:top w:val="none" w:sz="0" w:space="0" w:color="auto"/>
                <w:left w:val="none" w:sz="0" w:space="0" w:color="auto"/>
                <w:bottom w:val="none" w:sz="0" w:space="0" w:color="auto"/>
                <w:right w:val="none" w:sz="0" w:space="0" w:color="auto"/>
              </w:divBdr>
            </w:div>
            <w:div w:id="17813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69059">
      <w:bodyDiv w:val="1"/>
      <w:marLeft w:val="0"/>
      <w:marRight w:val="0"/>
      <w:marTop w:val="0"/>
      <w:marBottom w:val="0"/>
      <w:divBdr>
        <w:top w:val="none" w:sz="0" w:space="0" w:color="auto"/>
        <w:left w:val="none" w:sz="0" w:space="0" w:color="auto"/>
        <w:bottom w:val="none" w:sz="0" w:space="0" w:color="auto"/>
        <w:right w:val="none" w:sz="0" w:space="0" w:color="auto"/>
      </w:divBdr>
    </w:div>
    <w:div w:id="261688859">
      <w:bodyDiv w:val="1"/>
      <w:marLeft w:val="0"/>
      <w:marRight w:val="0"/>
      <w:marTop w:val="0"/>
      <w:marBottom w:val="0"/>
      <w:divBdr>
        <w:top w:val="none" w:sz="0" w:space="0" w:color="auto"/>
        <w:left w:val="none" w:sz="0" w:space="0" w:color="auto"/>
        <w:bottom w:val="none" w:sz="0" w:space="0" w:color="auto"/>
        <w:right w:val="none" w:sz="0" w:space="0" w:color="auto"/>
      </w:divBdr>
      <w:divsChild>
        <w:div w:id="1463572650">
          <w:marLeft w:val="0"/>
          <w:marRight w:val="0"/>
          <w:marTop w:val="0"/>
          <w:marBottom w:val="0"/>
          <w:divBdr>
            <w:top w:val="none" w:sz="0" w:space="0" w:color="auto"/>
            <w:left w:val="none" w:sz="0" w:space="0" w:color="auto"/>
            <w:bottom w:val="none" w:sz="0" w:space="0" w:color="auto"/>
            <w:right w:val="none" w:sz="0" w:space="0" w:color="auto"/>
          </w:divBdr>
        </w:div>
        <w:div w:id="561913181">
          <w:marLeft w:val="0"/>
          <w:marRight w:val="0"/>
          <w:marTop w:val="0"/>
          <w:marBottom w:val="0"/>
          <w:divBdr>
            <w:top w:val="none" w:sz="0" w:space="0" w:color="auto"/>
            <w:left w:val="none" w:sz="0" w:space="0" w:color="auto"/>
            <w:bottom w:val="none" w:sz="0" w:space="0" w:color="auto"/>
            <w:right w:val="none" w:sz="0" w:space="0" w:color="auto"/>
          </w:divBdr>
        </w:div>
        <w:div w:id="1993558542">
          <w:marLeft w:val="0"/>
          <w:marRight w:val="0"/>
          <w:marTop w:val="0"/>
          <w:marBottom w:val="0"/>
          <w:divBdr>
            <w:top w:val="none" w:sz="0" w:space="0" w:color="auto"/>
            <w:left w:val="none" w:sz="0" w:space="0" w:color="auto"/>
            <w:bottom w:val="none" w:sz="0" w:space="0" w:color="auto"/>
            <w:right w:val="none" w:sz="0" w:space="0" w:color="auto"/>
          </w:divBdr>
        </w:div>
        <w:div w:id="654339420">
          <w:marLeft w:val="0"/>
          <w:marRight w:val="0"/>
          <w:marTop w:val="0"/>
          <w:marBottom w:val="0"/>
          <w:divBdr>
            <w:top w:val="none" w:sz="0" w:space="0" w:color="auto"/>
            <w:left w:val="none" w:sz="0" w:space="0" w:color="auto"/>
            <w:bottom w:val="none" w:sz="0" w:space="0" w:color="auto"/>
            <w:right w:val="none" w:sz="0" w:space="0" w:color="auto"/>
          </w:divBdr>
        </w:div>
      </w:divsChild>
    </w:div>
    <w:div w:id="306013400">
      <w:bodyDiv w:val="1"/>
      <w:marLeft w:val="0"/>
      <w:marRight w:val="0"/>
      <w:marTop w:val="0"/>
      <w:marBottom w:val="0"/>
      <w:divBdr>
        <w:top w:val="none" w:sz="0" w:space="0" w:color="auto"/>
        <w:left w:val="none" w:sz="0" w:space="0" w:color="auto"/>
        <w:bottom w:val="none" w:sz="0" w:space="0" w:color="auto"/>
        <w:right w:val="none" w:sz="0" w:space="0" w:color="auto"/>
      </w:divBdr>
    </w:div>
    <w:div w:id="370376054">
      <w:bodyDiv w:val="1"/>
      <w:marLeft w:val="0"/>
      <w:marRight w:val="0"/>
      <w:marTop w:val="0"/>
      <w:marBottom w:val="0"/>
      <w:divBdr>
        <w:top w:val="none" w:sz="0" w:space="0" w:color="auto"/>
        <w:left w:val="none" w:sz="0" w:space="0" w:color="auto"/>
        <w:bottom w:val="none" w:sz="0" w:space="0" w:color="auto"/>
        <w:right w:val="none" w:sz="0" w:space="0" w:color="auto"/>
      </w:divBdr>
      <w:divsChild>
        <w:div w:id="1807116830">
          <w:marLeft w:val="0"/>
          <w:marRight w:val="0"/>
          <w:marTop w:val="0"/>
          <w:marBottom w:val="0"/>
          <w:divBdr>
            <w:top w:val="none" w:sz="0" w:space="0" w:color="auto"/>
            <w:left w:val="none" w:sz="0" w:space="0" w:color="auto"/>
            <w:bottom w:val="none" w:sz="0" w:space="0" w:color="auto"/>
            <w:right w:val="none" w:sz="0" w:space="0" w:color="auto"/>
          </w:divBdr>
        </w:div>
        <w:div w:id="744763768">
          <w:marLeft w:val="0"/>
          <w:marRight w:val="0"/>
          <w:marTop w:val="0"/>
          <w:marBottom w:val="0"/>
          <w:divBdr>
            <w:top w:val="none" w:sz="0" w:space="0" w:color="auto"/>
            <w:left w:val="none" w:sz="0" w:space="0" w:color="auto"/>
            <w:bottom w:val="none" w:sz="0" w:space="0" w:color="auto"/>
            <w:right w:val="none" w:sz="0" w:space="0" w:color="auto"/>
          </w:divBdr>
        </w:div>
        <w:div w:id="1700546575">
          <w:marLeft w:val="0"/>
          <w:marRight w:val="0"/>
          <w:marTop w:val="0"/>
          <w:marBottom w:val="0"/>
          <w:divBdr>
            <w:top w:val="none" w:sz="0" w:space="0" w:color="auto"/>
            <w:left w:val="none" w:sz="0" w:space="0" w:color="auto"/>
            <w:bottom w:val="none" w:sz="0" w:space="0" w:color="auto"/>
            <w:right w:val="none" w:sz="0" w:space="0" w:color="auto"/>
          </w:divBdr>
        </w:div>
        <w:div w:id="2108958276">
          <w:marLeft w:val="0"/>
          <w:marRight w:val="0"/>
          <w:marTop w:val="0"/>
          <w:marBottom w:val="0"/>
          <w:divBdr>
            <w:top w:val="none" w:sz="0" w:space="0" w:color="auto"/>
            <w:left w:val="none" w:sz="0" w:space="0" w:color="auto"/>
            <w:bottom w:val="none" w:sz="0" w:space="0" w:color="auto"/>
            <w:right w:val="none" w:sz="0" w:space="0" w:color="auto"/>
          </w:divBdr>
        </w:div>
        <w:div w:id="624115166">
          <w:marLeft w:val="0"/>
          <w:marRight w:val="0"/>
          <w:marTop w:val="0"/>
          <w:marBottom w:val="0"/>
          <w:divBdr>
            <w:top w:val="none" w:sz="0" w:space="0" w:color="auto"/>
            <w:left w:val="none" w:sz="0" w:space="0" w:color="auto"/>
            <w:bottom w:val="none" w:sz="0" w:space="0" w:color="auto"/>
            <w:right w:val="none" w:sz="0" w:space="0" w:color="auto"/>
          </w:divBdr>
        </w:div>
      </w:divsChild>
    </w:div>
    <w:div w:id="378943842">
      <w:bodyDiv w:val="1"/>
      <w:marLeft w:val="0"/>
      <w:marRight w:val="0"/>
      <w:marTop w:val="0"/>
      <w:marBottom w:val="0"/>
      <w:divBdr>
        <w:top w:val="none" w:sz="0" w:space="0" w:color="auto"/>
        <w:left w:val="none" w:sz="0" w:space="0" w:color="auto"/>
        <w:bottom w:val="none" w:sz="0" w:space="0" w:color="auto"/>
        <w:right w:val="none" w:sz="0" w:space="0" w:color="auto"/>
      </w:divBdr>
    </w:div>
    <w:div w:id="418020312">
      <w:bodyDiv w:val="1"/>
      <w:marLeft w:val="0"/>
      <w:marRight w:val="0"/>
      <w:marTop w:val="0"/>
      <w:marBottom w:val="0"/>
      <w:divBdr>
        <w:top w:val="none" w:sz="0" w:space="0" w:color="auto"/>
        <w:left w:val="none" w:sz="0" w:space="0" w:color="auto"/>
        <w:bottom w:val="none" w:sz="0" w:space="0" w:color="auto"/>
        <w:right w:val="none" w:sz="0" w:space="0" w:color="auto"/>
      </w:divBdr>
      <w:divsChild>
        <w:div w:id="49812368">
          <w:marLeft w:val="0"/>
          <w:marRight w:val="0"/>
          <w:marTop w:val="0"/>
          <w:marBottom w:val="0"/>
          <w:divBdr>
            <w:top w:val="none" w:sz="0" w:space="0" w:color="auto"/>
            <w:left w:val="none" w:sz="0" w:space="0" w:color="auto"/>
            <w:bottom w:val="none" w:sz="0" w:space="0" w:color="auto"/>
            <w:right w:val="none" w:sz="0" w:space="0" w:color="auto"/>
          </w:divBdr>
        </w:div>
        <w:div w:id="2003509552">
          <w:marLeft w:val="0"/>
          <w:marRight w:val="0"/>
          <w:marTop w:val="0"/>
          <w:marBottom w:val="0"/>
          <w:divBdr>
            <w:top w:val="none" w:sz="0" w:space="0" w:color="auto"/>
            <w:left w:val="none" w:sz="0" w:space="0" w:color="auto"/>
            <w:bottom w:val="none" w:sz="0" w:space="0" w:color="auto"/>
            <w:right w:val="none" w:sz="0" w:space="0" w:color="auto"/>
          </w:divBdr>
        </w:div>
        <w:div w:id="1349527829">
          <w:marLeft w:val="0"/>
          <w:marRight w:val="0"/>
          <w:marTop w:val="0"/>
          <w:marBottom w:val="0"/>
          <w:divBdr>
            <w:top w:val="none" w:sz="0" w:space="0" w:color="auto"/>
            <w:left w:val="none" w:sz="0" w:space="0" w:color="auto"/>
            <w:bottom w:val="none" w:sz="0" w:space="0" w:color="auto"/>
            <w:right w:val="none" w:sz="0" w:space="0" w:color="auto"/>
          </w:divBdr>
        </w:div>
      </w:divsChild>
    </w:div>
    <w:div w:id="454838054">
      <w:bodyDiv w:val="1"/>
      <w:marLeft w:val="0"/>
      <w:marRight w:val="0"/>
      <w:marTop w:val="0"/>
      <w:marBottom w:val="0"/>
      <w:divBdr>
        <w:top w:val="none" w:sz="0" w:space="0" w:color="auto"/>
        <w:left w:val="none" w:sz="0" w:space="0" w:color="auto"/>
        <w:bottom w:val="none" w:sz="0" w:space="0" w:color="auto"/>
        <w:right w:val="none" w:sz="0" w:space="0" w:color="auto"/>
      </w:divBdr>
    </w:div>
    <w:div w:id="548422285">
      <w:bodyDiv w:val="1"/>
      <w:marLeft w:val="0"/>
      <w:marRight w:val="0"/>
      <w:marTop w:val="0"/>
      <w:marBottom w:val="0"/>
      <w:divBdr>
        <w:top w:val="none" w:sz="0" w:space="0" w:color="auto"/>
        <w:left w:val="none" w:sz="0" w:space="0" w:color="auto"/>
        <w:bottom w:val="none" w:sz="0" w:space="0" w:color="auto"/>
        <w:right w:val="none" w:sz="0" w:space="0" w:color="auto"/>
      </w:divBdr>
    </w:div>
    <w:div w:id="702095190">
      <w:bodyDiv w:val="1"/>
      <w:marLeft w:val="0"/>
      <w:marRight w:val="0"/>
      <w:marTop w:val="0"/>
      <w:marBottom w:val="0"/>
      <w:divBdr>
        <w:top w:val="none" w:sz="0" w:space="0" w:color="auto"/>
        <w:left w:val="none" w:sz="0" w:space="0" w:color="auto"/>
        <w:bottom w:val="none" w:sz="0" w:space="0" w:color="auto"/>
        <w:right w:val="none" w:sz="0" w:space="0" w:color="auto"/>
      </w:divBdr>
      <w:divsChild>
        <w:div w:id="711229405">
          <w:marLeft w:val="0"/>
          <w:marRight w:val="0"/>
          <w:marTop w:val="0"/>
          <w:marBottom w:val="0"/>
          <w:divBdr>
            <w:top w:val="none" w:sz="0" w:space="0" w:color="auto"/>
            <w:left w:val="none" w:sz="0" w:space="0" w:color="auto"/>
            <w:bottom w:val="none" w:sz="0" w:space="0" w:color="auto"/>
            <w:right w:val="none" w:sz="0" w:space="0" w:color="auto"/>
          </w:divBdr>
        </w:div>
        <w:div w:id="1852180214">
          <w:marLeft w:val="0"/>
          <w:marRight w:val="0"/>
          <w:marTop w:val="0"/>
          <w:marBottom w:val="0"/>
          <w:divBdr>
            <w:top w:val="none" w:sz="0" w:space="0" w:color="auto"/>
            <w:left w:val="none" w:sz="0" w:space="0" w:color="auto"/>
            <w:bottom w:val="none" w:sz="0" w:space="0" w:color="auto"/>
            <w:right w:val="none" w:sz="0" w:space="0" w:color="auto"/>
          </w:divBdr>
        </w:div>
        <w:div w:id="382481225">
          <w:marLeft w:val="0"/>
          <w:marRight w:val="0"/>
          <w:marTop w:val="0"/>
          <w:marBottom w:val="0"/>
          <w:divBdr>
            <w:top w:val="none" w:sz="0" w:space="0" w:color="auto"/>
            <w:left w:val="none" w:sz="0" w:space="0" w:color="auto"/>
            <w:bottom w:val="none" w:sz="0" w:space="0" w:color="auto"/>
            <w:right w:val="none" w:sz="0" w:space="0" w:color="auto"/>
          </w:divBdr>
        </w:div>
        <w:div w:id="2138906834">
          <w:marLeft w:val="0"/>
          <w:marRight w:val="0"/>
          <w:marTop w:val="0"/>
          <w:marBottom w:val="0"/>
          <w:divBdr>
            <w:top w:val="none" w:sz="0" w:space="0" w:color="auto"/>
            <w:left w:val="none" w:sz="0" w:space="0" w:color="auto"/>
            <w:bottom w:val="none" w:sz="0" w:space="0" w:color="auto"/>
            <w:right w:val="none" w:sz="0" w:space="0" w:color="auto"/>
          </w:divBdr>
        </w:div>
        <w:div w:id="912275364">
          <w:marLeft w:val="0"/>
          <w:marRight w:val="0"/>
          <w:marTop w:val="0"/>
          <w:marBottom w:val="0"/>
          <w:divBdr>
            <w:top w:val="none" w:sz="0" w:space="0" w:color="auto"/>
            <w:left w:val="none" w:sz="0" w:space="0" w:color="auto"/>
            <w:bottom w:val="none" w:sz="0" w:space="0" w:color="auto"/>
            <w:right w:val="none" w:sz="0" w:space="0" w:color="auto"/>
          </w:divBdr>
        </w:div>
        <w:div w:id="548810569">
          <w:marLeft w:val="0"/>
          <w:marRight w:val="0"/>
          <w:marTop w:val="0"/>
          <w:marBottom w:val="0"/>
          <w:divBdr>
            <w:top w:val="none" w:sz="0" w:space="0" w:color="auto"/>
            <w:left w:val="none" w:sz="0" w:space="0" w:color="auto"/>
            <w:bottom w:val="none" w:sz="0" w:space="0" w:color="auto"/>
            <w:right w:val="none" w:sz="0" w:space="0" w:color="auto"/>
          </w:divBdr>
        </w:div>
        <w:div w:id="664285928">
          <w:marLeft w:val="0"/>
          <w:marRight w:val="0"/>
          <w:marTop w:val="0"/>
          <w:marBottom w:val="0"/>
          <w:divBdr>
            <w:top w:val="none" w:sz="0" w:space="0" w:color="auto"/>
            <w:left w:val="none" w:sz="0" w:space="0" w:color="auto"/>
            <w:bottom w:val="none" w:sz="0" w:space="0" w:color="auto"/>
            <w:right w:val="none" w:sz="0" w:space="0" w:color="auto"/>
          </w:divBdr>
        </w:div>
        <w:div w:id="73165702">
          <w:marLeft w:val="0"/>
          <w:marRight w:val="0"/>
          <w:marTop w:val="0"/>
          <w:marBottom w:val="0"/>
          <w:divBdr>
            <w:top w:val="none" w:sz="0" w:space="0" w:color="auto"/>
            <w:left w:val="none" w:sz="0" w:space="0" w:color="auto"/>
            <w:bottom w:val="none" w:sz="0" w:space="0" w:color="auto"/>
            <w:right w:val="none" w:sz="0" w:space="0" w:color="auto"/>
          </w:divBdr>
        </w:div>
        <w:div w:id="696126515">
          <w:marLeft w:val="0"/>
          <w:marRight w:val="0"/>
          <w:marTop w:val="0"/>
          <w:marBottom w:val="0"/>
          <w:divBdr>
            <w:top w:val="none" w:sz="0" w:space="0" w:color="auto"/>
            <w:left w:val="none" w:sz="0" w:space="0" w:color="auto"/>
            <w:bottom w:val="none" w:sz="0" w:space="0" w:color="auto"/>
            <w:right w:val="none" w:sz="0" w:space="0" w:color="auto"/>
          </w:divBdr>
        </w:div>
        <w:div w:id="84739649">
          <w:marLeft w:val="0"/>
          <w:marRight w:val="0"/>
          <w:marTop w:val="0"/>
          <w:marBottom w:val="0"/>
          <w:divBdr>
            <w:top w:val="none" w:sz="0" w:space="0" w:color="auto"/>
            <w:left w:val="none" w:sz="0" w:space="0" w:color="auto"/>
            <w:bottom w:val="none" w:sz="0" w:space="0" w:color="auto"/>
            <w:right w:val="none" w:sz="0" w:space="0" w:color="auto"/>
          </w:divBdr>
        </w:div>
        <w:div w:id="1793741702">
          <w:marLeft w:val="0"/>
          <w:marRight w:val="0"/>
          <w:marTop w:val="0"/>
          <w:marBottom w:val="0"/>
          <w:divBdr>
            <w:top w:val="none" w:sz="0" w:space="0" w:color="auto"/>
            <w:left w:val="none" w:sz="0" w:space="0" w:color="auto"/>
            <w:bottom w:val="none" w:sz="0" w:space="0" w:color="auto"/>
            <w:right w:val="none" w:sz="0" w:space="0" w:color="auto"/>
          </w:divBdr>
        </w:div>
        <w:div w:id="1308977610">
          <w:marLeft w:val="0"/>
          <w:marRight w:val="0"/>
          <w:marTop w:val="0"/>
          <w:marBottom w:val="0"/>
          <w:divBdr>
            <w:top w:val="none" w:sz="0" w:space="0" w:color="auto"/>
            <w:left w:val="none" w:sz="0" w:space="0" w:color="auto"/>
            <w:bottom w:val="none" w:sz="0" w:space="0" w:color="auto"/>
            <w:right w:val="none" w:sz="0" w:space="0" w:color="auto"/>
          </w:divBdr>
        </w:div>
        <w:div w:id="104934634">
          <w:marLeft w:val="0"/>
          <w:marRight w:val="0"/>
          <w:marTop w:val="0"/>
          <w:marBottom w:val="0"/>
          <w:divBdr>
            <w:top w:val="none" w:sz="0" w:space="0" w:color="auto"/>
            <w:left w:val="none" w:sz="0" w:space="0" w:color="auto"/>
            <w:bottom w:val="none" w:sz="0" w:space="0" w:color="auto"/>
            <w:right w:val="none" w:sz="0" w:space="0" w:color="auto"/>
          </w:divBdr>
        </w:div>
        <w:div w:id="789783246">
          <w:marLeft w:val="0"/>
          <w:marRight w:val="0"/>
          <w:marTop w:val="0"/>
          <w:marBottom w:val="0"/>
          <w:divBdr>
            <w:top w:val="none" w:sz="0" w:space="0" w:color="auto"/>
            <w:left w:val="none" w:sz="0" w:space="0" w:color="auto"/>
            <w:bottom w:val="none" w:sz="0" w:space="0" w:color="auto"/>
            <w:right w:val="none" w:sz="0" w:space="0" w:color="auto"/>
          </w:divBdr>
        </w:div>
        <w:div w:id="1389456944">
          <w:marLeft w:val="0"/>
          <w:marRight w:val="0"/>
          <w:marTop w:val="0"/>
          <w:marBottom w:val="0"/>
          <w:divBdr>
            <w:top w:val="none" w:sz="0" w:space="0" w:color="auto"/>
            <w:left w:val="none" w:sz="0" w:space="0" w:color="auto"/>
            <w:bottom w:val="none" w:sz="0" w:space="0" w:color="auto"/>
            <w:right w:val="none" w:sz="0" w:space="0" w:color="auto"/>
          </w:divBdr>
        </w:div>
        <w:div w:id="1309550309">
          <w:marLeft w:val="0"/>
          <w:marRight w:val="0"/>
          <w:marTop w:val="0"/>
          <w:marBottom w:val="0"/>
          <w:divBdr>
            <w:top w:val="none" w:sz="0" w:space="0" w:color="auto"/>
            <w:left w:val="none" w:sz="0" w:space="0" w:color="auto"/>
            <w:bottom w:val="none" w:sz="0" w:space="0" w:color="auto"/>
            <w:right w:val="none" w:sz="0" w:space="0" w:color="auto"/>
          </w:divBdr>
        </w:div>
        <w:div w:id="750082822">
          <w:marLeft w:val="0"/>
          <w:marRight w:val="0"/>
          <w:marTop w:val="0"/>
          <w:marBottom w:val="0"/>
          <w:divBdr>
            <w:top w:val="none" w:sz="0" w:space="0" w:color="auto"/>
            <w:left w:val="none" w:sz="0" w:space="0" w:color="auto"/>
            <w:bottom w:val="none" w:sz="0" w:space="0" w:color="auto"/>
            <w:right w:val="none" w:sz="0" w:space="0" w:color="auto"/>
          </w:divBdr>
        </w:div>
        <w:div w:id="711199132">
          <w:marLeft w:val="0"/>
          <w:marRight w:val="0"/>
          <w:marTop w:val="0"/>
          <w:marBottom w:val="0"/>
          <w:divBdr>
            <w:top w:val="none" w:sz="0" w:space="0" w:color="auto"/>
            <w:left w:val="none" w:sz="0" w:space="0" w:color="auto"/>
            <w:bottom w:val="none" w:sz="0" w:space="0" w:color="auto"/>
            <w:right w:val="none" w:sz="0" w:space="0" w:color="auto"/>
          </w:divBdr>
        </w:div>
        <w:div w:id="652952401">
          <w:marLeft w:val="0"/>
          <w:marRight w:val="0"/>
          <w:marTop w:val="0"/>
          <w:marBottom w:val="0"/>
          <w:divBdr>
            <w:top w:val="none" w:sz="0" w:space="0" w:color="auto"/>
            <w:left w:val="none" w:sz="0" w:space="0" w:color="auto"/>
            <w:bottom w:val="none" w:sz="0" w:space="0" w:color="auto"/>
            <w:right w:val="none" w:sz="0" w:space="0" w:color="auto"/>
          </w:divBdr>
        </w:div>
        <w:div w:id="98379539">
          <w:marLeft w:val="0"/>
          <w:marRight w:val="0"/>
          <w:marTop w:val="0"/>
          <w:marBottom w:val="0"/>
          <w:divBdr>
            <w:top w:val="none" w:sz="0" w:space="0" w:color="auto"/>
            <w:left w:val="none" w:sz="0" w:space="0" w:color="auto"/>
            <w:bottom w:val="none" w:sz="0" w:space="0" w:color="auto"/>
            <w:right w:val="none" w:sz="0" w:space="0" w:color="auto"/>
          </w:divBdr>
        </w:div>
        <w:div w:id="196358997">
          <w:marLeft w:val="0"/>
          <w:marRight w:val="0"/>
          <w:marTop w:val="0"/>
          <w:marBottom w:val="0"/>
          <w:divBdr>
            <w:top w:val="none" w:sz="0" w:space="0" w:color="auto"/>
            <w:left w:val="none" w:sz="0" w:space="0" w:color="auto"/>
            <w:bottom w:val="none" w:sz="0" w:space="0" w:color="auto"/>
            <w:right w:val="none" w:sz="0" w:space="0" w:color="auto"/>
          </w:divBdr>
        </w:div>
        <w:div w:id="1597782894">
          <w:marLeft w:val="0"/>
          <w:marRight w:val="0"/>
          <w:marTop w:val="0"/>
          <w:marBottom w:val="0"/>
          <w:divBdr>
            <w:top w:val="none" w:sz="0" w:space="0" w:color="auto"/>
            <w:left w:val="none" w:sz="0" w:space="0" w:color="auto"/>
            <w:bottom w:val="none" w:sz="0" w:space="0" w:color="auto"/>
            <w:right w:val="none" w:sz="0" w:space="0" w:color="auto"/>
          </w:divBdr>
        </w:div>
        <w:div w:id="383598167">
          <w:marLeft w:val="0"/>
          <w:marRight w:val="0"/>
          <w:marTop w:val="0"/>
          <w:marBottom w:val="0"/>
          <w:divBdr>
            <w:top w:val="none" w:sz="0" w:space="0" w:color="auto"/>
            <w:left w:val="none" w:sz="0" w:space="0" w:color="auto"/>
            <w:bottom w:val="none" w:sz="0" w:space="0" w:color="auto"/>
            <w:right w:val="none" w:sz="0" w:space="0" w:color="auto"/>
          </w:divBdr>
        </w:div>
      </w:divsChild>
    </w:div>
    <w:div w:id="713773984">
      <w:bodyDiv w:val="1"/>
      <w:marLeft w:val="0"/>
      <w:marRight w:val="0"/>
      <w:marTop w:val="0"/>
      <w:marBottom w:val="0"/>
      <w:divBdr>
        <w:top w:val="none" w:sz="0" w:space="0" w:color="auto"/>
        <w:left w:val="none" w:sz="0" w:space="0" w:color="auto"/>
        <w:bottom w:val="none" w:sz="0" w:space="0" w:color="auto"/>
        <w:right w:val="none" w:sz="0" w:space="0" w:color="auto"/>
      </w:divBdr>
      <w:divsChild>
        <w:div w:id="929463640">
          <w:marLeft w:val="0"/>
          <w:marRight w:val="0"/>
          <w:marTop w:val="0"/>
          <w:marBottom w:val="0"/>
          <w:divBdr>
            <w:top w:val="none" w:sz="0" w:space="0" w:color="auto"/>
            <w:left w:val="none" w:sz="0" w:space="0" w:color="auto"/>
            <w:bottom w:val="none" w:sz="0" w:space="0" w:color="auto"/>
            <w:right w:val="none" w:sz="0" w:space="0" w:color="auto"/>
          </w:divBdr>
        </w:div>
        <w:div w:id="1235042914">
          <w:marLeft w:val="0"/>
          <w:marRight w:val="0"/>
          <w:marTop w:val="0"/>
          <w:marBottom w:val="0"/>
          <w:divBdr>
            <w:top w:val="none" w:sz="0" w:space="0" w:color="auto"/>
            <w:left w:val="none" w:sz="0" w:space="0" w:color="auto"/>
            <w:bottom w:val="none" w:sz="0" w:space="0" w:color="auto"/>
            <w:right w:val="none" w:sz="0" w:space="0" w:color="auto"/>
          </w:divBdr>
        </w:div>
        <w:div w:id="963972293">
          <w:marLeft w:val="0"/>
          <w:marRight w:val="0"/>
          <w:marTop w:val="0"/>
          <w:marBottom w:val="0"/>
          <w:divBdr>
            <w:top w:val="none" w:sz="0" w:space="0" w:color="auto"/>
            <w:left w:val="none" w:sz="0" w:space="0" w:color="auto"/>
            <w:bottom w:val="none" w:sz="0" w:space="0" w:color="auto"/>
            <w:right w:val="none" w:sz="0" w:space="0" w:color="auto"/>
          </w:divBdr>
        </w:div>
        <w:div w:id="1975925">
          <w:marLeft w:val="0"/>
          <w:marRight w:val="0"/>
          <w:marTop w:val="0"/>
          <w:marBottom w:val="0"/>
          <w:divBdr>
            <w:top w:val="none" w:sz="0" w:space="0" w:color="auto"/>
            <w:left w:val="none" w:sz="0" w:space="0" w:color="auto"/>
            <w:bottom w:val="none" w:sz="0" w:space="0" w:color="auto"/>
            <w:right w:val="none" w:sz="0" w:space="0" w:color="auto"/>
          </w:divBdr>
        </w:div>
        <w:div w:id="1540432017">
          <w:marLeft w:val="0"/>
          <w:marRight w:val="0"/>
          <w:marTop w:val="0"/>
          <w:marBottom w:val="0"/>
          <w:divBdr>
            <w:top w:val="none" w:sz="0" w:space="0" w:color="auto"/>
            <w:left w:val="none" w:sz="0" w:space="0" w:color="auto"/>
            <w:bottom w:val="none" w:sz="0" w:space="0" w:color="auto"/>
            <w:right w:val="none" w:sz="0" w:space="0" w:color="auto"/>
          </w:divBdr>
        </w:div>
        <w:div w:id="1853953890">
          <w:marLeft w:val="0"/>
          <w:marRight w:val="0"/>
          <w:marTop w:val="0"/>
          <w:marBottom w:val="0"/>
          <w:divBdr>
            <w:top w:val="none" w:sz="0" w:space="0" w:color="auto"/>
            <w:left w:val="none" w:sz="0" w:space="0" w:color="auto"/>
            <w:bottom w:val="none" w:sz="0" w:space="0" w:color="auto"/>
            <w:right w:val="none" w:sz="0" w:space="0" w:color="auto"/>
          </w:divBdr>
        </w:div>
      </w:divsChild>
    </w:div>
    <w:div w:id="738483450">
      <w:bodyDiv w:val="1"/>
      <w:marLeft w:val="0"/>
      <w:marRight w:val="0"/>
      <w:marTop w:val="0"/>
      <w:marBottom w:val="0"/>
      <w:divBdr>
        <w:top w:val="none" w:sz="0" w:space="0" w:color="auto"/>
        <w:left w:val="none" w:sz="0" w:space="0" w:color="auto"/>
        <w:bottom w:val="none" w:sz="0" w:space="0" w:color="auto"/>
        <w:right w:val="none" w:sz="0" w:space="0" w:color="auto"/>
      </w:divBdr>
    </w:div>
    <w:div w:id="756681098">
      <w:bodyDiv w:val="1"/>
      <w:marLeft w:val="0"/>
      <w:marRight w:val="0"/>
      <w:marTop w:val="0"/>
      <w:marBottom w:val="0"/>
      <w:divBdr>
        <w:top w:val="none" w:sz="0" w:space="0" w:color="auto"/>
        <w:left w:val="none" w:sz="0" w:space="0" w:color="auto"/>
        <w:bottom w:val="none" w:sz="0" w:space="0" w:color="auto"/>
        <w:right w:val="none" w:sz="0" w:space="0" w:color="auto"/>
      </w:divBdr>
    </w:div>
    <w:div w:id="767698647">
      <w:bodyDiv w:val="1"/>
      <w:marLeft w:val="0"/>
      <w:marRight w:val="0"/>
      <w:marTop w:val="0"/>
      <w:marBottom w:val="0"/>
      <w:divBdr>
        <w:top w:val="none" w:sz="0" w:space="0" w:color="auto"/>
        <w:left w:val="none" w:sz="0" w:space="0" w:color="auto"/>
        <w:bottom w:val="none" w:sz="0" w:space="0" w:color="auto"/>
        <w:right w:val="none" w:sz="0" w:space="0" w:color="auto"/>
      </w:divBdr>
    </w:div>
    <w:div w:id="978614993">
      <w:bodyDiv w:val="1"/>
      <w:marLeft w:val="0"/>
      <w:marRight w:val="0"/>
      <w:marTop w:val="0"/>
      <w:marBottom w:val="0"/>
      <w:divBdr>
        <w:top w:val="none" w:sz="0" w:space="0" w:color="auto"/>
        <w:left w:val="none" w:sz="0" w:space="0" w:color="auto"/>
        <w:bottom w:val="none" w:sz="0" w:space="0" w:color="auto"/>
        <w:right w:val="none" w:sz="0" w:space="0" w:color="auto"/>
      </w:divBdr>
    </w:div>
    <w:div w:id="1053164145">
      <w:bodyDiv w:val="1"/>
      <w:marLeft w:val="0"/>
      <w:marRight w:val="0"/>
      <w:marTop w:val="0"/>
      <w:marBottom w:val="0"/>
      <w:divBdr>
        <w:top w:val="none" w:sz="0" w:space="0" w:color="auto"/>
        <w:left w:val="none" w:sz="0" w:space="0" w:color="auto"/>
        <w:bottom w:val="none" w:sz="0" w:space="0" w:color="auto"/>
        <w:right w:val="none" w:sz="0" w:space="0" w:color="auto"/>
      </w:divBdr>
    </w:div>
    <w:div w:id="1068265678">
      <w:bodyDiv w:val="1"/>
      <w:marLeft w:val="0"/>
      <w:marRight w:val="0"/>
      <w:marTop w:val="0"/>
      <w:marBottom w:val="0"/>
      <w:divBdr>
        <w:top w:val="none" w:sz="0" w:space="0" w:color="auto"/>
        <w:left w:val="none" w:sz="0" w:space="0" w:color="auto"/>
        <w:bottom w:val="none" w:sz="0" w:space="0" w:color="auto"/>
        <w:right w:val="none" w:sz="0" w:space="0" w:color="auto"/>
      </w:divBdr>
    </w:div>
    <w:div w:id="1197546691">
      <w:bodyDiv w:val="1"/>
      <w:marLeft w:val="0"/>
      <w:marRight w:val="0"/>
      <w:marTop w:val="0"/>
      <w:marBottom w:val="0"/>
      <w:divBdr>
        <w:top w:val="none" w:sz="0" w:space="0" w:color="auto"/>
        <w:left w:val="none" w:sz="0" w:space="0" w:color="auto"/>
        <w:bottom w:val="none" w:sz="0" w:space="0" w:color="auto"/>
        <w:right w:val="none" w:sz="0" w:space="0" w:color="auto"/>
      </w:divBdr>
    </w:div>
    <w:div w:id="1216233755">
      <w:bodyDiv w:val="1"/>
      <w:marLeft w:val="0"/>
      <w:marRight w:val="0"/>
      <w:marTop w:val="0"/>
      <w:marBottom w:val="0"/>
      <w:divBdr>
        <w:top w:val="none" w:sz="0" w:space="0" w:color="auto"/>
        <w:left w:val="none" w:sz="0" w:space="0" w:color="auto"/>
        <w:bottom w:val="none" w:sz="0" w:space="0" w:color="auto"/>
        <w:right w:val="none" w:sz="0" w:space="0" w:color="auto"/>
      </w:divBdr>
    </w:div>
    <w:div w:id="1274821318">
      <w:bodyDiv w:val="1"/>
      <w:marLeft w:val="0"/>
      <w:marRight w:val="0"/>
      <w:marTop w:val="0"/>
      <w:marBottom w:val="0"/>
      <w:divBdr>
        <w:top w:val="none" w:sz="0" w:space="0" w:color="auto"/>
        <w:left w:val="none" w:sz="0" w:space="0" w:color="auto"/>
        <w:bottom w:val="none" w:sz="0" w:space="0" w:color="auto"/>
        <w:right w:val="none" w:sz="0" w:space="0" w:color="auto"/>
      </w:divBdr>
    </w:div>
    <w:div w:id="1279413180">
      <w:bodyDiv w:val="1"/>
      <w:marLeft w:val="0"/>
      <w:marRight w:val="0"/>
      <w:marTop w:val="0"/>
      <w:marBottom w:val="0"/>
      <w:divBdr>
        <w:top w:val="none" w:sz="0" w:space="0" w:color="auto"/>
        <w:left w:val="none" w:sz="0" w:space="0" w:color="auto"/>
        <w:bottom w:val="none" w:sz="0" w:space="0" w:color="auto"/>
        <w:right w:val="none" w:sz="0" w:space="0" w:color="auto"/>
      </w:divBdr>
    </w:div>
    <w:div w:id="1311641066">
      <w:bodyDiv w:val="1"/>
      <w:marLeft w:val="0"/>
      <w:marRight w:val="0"/>
      <w:marTop w:val="0"/>
      <w:marBottom w:val="0"/>
      <w:divBdr>
        <w:top w:val="none" w:sz="0" w:space="0" w:color="auto"/>
        <w:left w:val="none" w:sz="0" w:space="0" w:color="auto"/>
        <w:bottom w:val="none" w:sz="0" w:space="0" w:color="auto"/>
        <w:right w:val="none" w:sz="0" w:space="0" w:color="auto"/>
      </w:divBdr>
    </w:div>
    <w:div w:id="1325280884">
      <w:bodyDiv w:val="1"/>
      <w:marLeft w:val="0"/>
      <w:marRight w:val="0"/>
      <w:marTop w:val="0"/>
      <w:marBottom w:val="0"/>
      <w:divBdr>
        <w:top w:val="none" w:sz="0" w:space="0" w:color="auto"/>
        <w:left w:val="none" w:sz="0" w:space="0" w:color="auto"/>
        <w:bottom w:val="none" w:sz="0" w:space="0" w:color="auto"/>
        <w:right w:val="none" w:sz="0" w:space="0" w:color="auto"/>
      </w:divBdr>
    </w:div>
    <w:div w:id="1325814565">
      <w:bodyDiv w:val="1"/>
      <w:marLeft w:val="0"/>
      <w:marRight w:val="0"/>
      <w:marTop w:val="0"/>
      <w:marBottom w:val="0"/>
      <w:divBdr>
        <w:top w:val="none" w:sz="0" w:space="0" w:color="auto"/>
        <w:left w:val="none" w:sz="0" w:space="0" w:color="auto"/>
        <w:bottom w:val="none" w:sz="0" w:space="0" w:color="auto"/>
        <w:right w:val="none" w:sz="0" w:space="0" w:color="auto"/>
      </w:divBdr>
    </w:div>
    <w:div w:id="1363941211">
      <w:bodyDiv w:val="1"/>
      <w:marLeft w:val="0"/>
      <w:marRight w:val="0"/>
      <w:marTop w:val="0"/>
      <w:marBottom w:val="0"/>
      <w:divBdr>
        <w:top w:val="none" w:sz="0" w:space="0" w:color="auto"/>
        <w:left w:val="none" w:sz="0" w:space="0" w:color="auto"/>
        <w:bottom w:val="none" w:sz="0" w:space="0" w:color="auto"/>
        <w:right w:val="none" w:sz="0" w:space="0" w:color="auto"/>
      </w:divBdr>
      <w:divsChild>
        <w:div w:id="947783053">
          <w:marLeft w:val="0"/>
          <w:marRight w:val="0"/>
          <w:marTop w:val="0"/>
          <w:marBottom w:val="0"/>
          <w:divBdr>
            <w:top w:val="none" w:sz="0" w:space="0" w:color="auto"/>
            <w:left w:val="none" w:sz="0" w:space="0" w:color="auto"/>
            <w:bottom w:val="none" w:sz="0" w:space="0" w:color="auto"/>
            <w:right w:val="none" w:sz="0" w:space="0" w:color="auto"/>
          </w:divBdr>
        </w:div>
        <w:div w:id="57635010">
          <w:marLeft w:val="0"/>
          <w:marRight w:val="0"/>
          <w:marTop w:val="0"/>
          <w:marBottom w:val="0"/>
          <w:divBdr>
            <w:top w:val="none" w:sz="0" w:space="0" w:color="auto"/>
            <w:left w:val="none" w:sz="0" w:space="0" w:color="auto"/>
            <w:bottom w:val="none" w:sz="0" w:space="0" w:color="auto"/>
            <w:right w:val="none" w:sz="0" w:space="0" w:color="auto"/>
          </w:divBdr>
        </w:div>
        <w:div w:id="1886404865">
          <w:marLeft w:val="0"/>
          <w:marRight w:val="0"/>
          <w:marTop w:val="0"/>
          <w:marBottom w:val="0"/>
          <w:divBdr>
            <w:top w:val="none" w:sz="0" w:space="0" w:color="auto"/>
            <w:left w:val="none" w:sz="0" w:space="0" w:color="auto"/>
            <w:bottom w:val="none" w:sz="0" w:space="0" w:color="auto"/>
            <w:right w:val="none" w:sz="0" w:space="0" w:color="auto"/>
          </w:divBdr>
        </w:div>
        <w:div w:id="1685981847">
          <w:marLeft w:val="0"/>
          <w:marRight w:val="0"/>
          <w:marTop w:val="0"/>
          <w:marBottom w:val="0"/>
          <w:divBdr>
            <w:top w:val="none" w:sz="0" w:space="0" w:color="auto"/>
            <w:left w:val="none" w:sz="0" w:space="0" w:color="auto"/>
            <w:bottom w:val="none" w:sz="0" w:space="0" w:color="auto"/>
            <w:right w:val="none" w:sz="0" w:space="0" w:color="auto"/>
          </w:divBdr>
        </w:div>
        <w:div w:id="1488741339">
          <w:marLeft w:val="0"/>
          <w:marRight w:val="0"/>
          <w:marTop w:val="0"/>
          <w:marBottom w:val="0"/>
          <w:divBdr>
            <w:top w:val="none" w:sz="0" w:space="0" w:color="auto"/>
            <w:left w:val="none" w:sz="0" w:space="0" w:color="auto"/>
            <w:bottom w:val="none" w:sz="0" w:space="0" w:color="auto"/>
            <w:right w:val="none" w:sz="0" w:space="0" w:color="auto"/>
          </w:divBdr>
        </w:div>
        <w:div w:id="1953052618">
          <w:marLeft w:val="0"/>
          <w:marRight w:val="0"/>
          <w:marTop w:val="0"/>
          <w:marBottom w:val="0"/>
          <w:divBdr>
            <w:top w:val="none" w:sz="0" w:space="0" w:color="auto"/>
            <w:left w:val="none" w:sz="0" w:space="0" w:color="auto"/>
            <w:bottom w:val="none" w:sz="0" w:space="0" w:color="auto"/>
            <w:right w:val="none" w:sz="0" w:space="0" w:color="auto"/>
          </w:divBdr>
        </w:div>
        <w:div w:id="1779056849">
          <w:marLeft w:val="0"/>
          <w:marRight w:val="0"/>
          <w:marTop w:val="0"/>
          <w:marBottom w:val="0"/>
          <w:divBdr>
            <w:top w:val="none" w:sz="0" w:space="0" w:color="auto"/>
            <w:left w:val="none" w:sz="0" w:space="0" w:color="auto"/>
            <w:bottom w:val="none" w:sz="0" w:space="0" w:color="auto"/>
            <w:right w:val="none" w:sz="0" w:space="0" w:color="auto"/>
          </w:divBdr>
        </w:div>
        <w:div w:id="748582454">
          <w:marLeft w:val="0"/>
          <w:marRight w:val="0"/>
          <w:marTop w:val="0"/>
          <w:marBottom w:val="0"/>
          <w:divBdr>
            <w:top w:val="none" w:sz="0" w:space="0" w:color="auto"/>
            <w:left w:val="none" w:sz="0" w:space="0" w:color="auto"/>
            <w:bottom w:val="none" w:sz="0" w:space="0" w:color="auto"/>
            <w:right w:val="none" w:sz="0" w:space="0" w:color="auto"/>
          </w:divBdr>
        </w:div>
        <w:div w:id="547104731">
          <w:marLeft w:val="0"/>
          <w:marRight w:val="0"/>
          <w:marTop w:val="0"/>
          <w:marBottom w:val="0"/>
          <w:divBdr>
            <w:top w:val="none" w:sz="0" w:space="0" w:color="auto"/>
            <w:left w:val="none" w:sz="0" w:space="0" w:color="auto"/>
            <w:bottom w:val="none" w:sz="0" w:space="0" w:color="auto"/>
            <w:right w:val="none" w:sz="0" w:space="0" w:color="auto"/>
          </w:divBdr>
        </w:div>
        <w:div w:id="576552757">
          <w:marLeft w:val="0"/>
          <w:marRight w:val="0"/>
          <w:marTop w:val="0"/>
          <w:marBottom w:val="0"/>
          <w:divBdr>
            <w:top w:val="none" w:sz="0" w:space="0" w:color="auto"/>
            <w:left w:val="none" w:sz="0" w:space="0" w:color="auto"/>
            <w:bottom w:val="none" w:sz="0" w:space="0" w:color="auto"/>
            <w:right w:val="none" w:sz="0" w:space="0" w:color="auto"/>
          </w:divBdr>
        </w:div>
      </w:divsChild>
    </w:div>
    <w:div w:id="1411318667">
      <w:bodyDiv w:val="1"/>
      <w:marLeft w:val="0"/>
      <w:marRight w:val="0"/>
      <w:marTop w:val="0"/>
      <w:marBottom w:val="0"/>
      <w:divBdr>
        <w:top w:val="none" w:sz="0" w:space="0" w:color="auto"/>
        <w:left w:val="none" w:sz="0" w:space="0" w:color="auto"/>
        <w:bottom w:val="none" w:sz="0" w:space="0" w:color="auto"/>
        <w:right w:val="none" w:sz="0" w:space="0" w:color="auto"/>
      </w:divBdr>
      <w:divsChild>
        <w:div w:id="288896897">
          <w:marLeft w:val="0"/>
          <w:marRight w:val="0"/>
          <w:marTop w:val="0"/>
          <w:marBottom w:val="0"/>
          <w:divBdr>
            <w:top w:val="none" w:sz="0" w:space="0" w:color="auto"/>
            <w:left w:val="none" w:sz="0" w:space="0" w:color="auto"/>
            <w:bottom w:val="none" w:sz="0" w:space="0" w:color="auto"/>
            <w:right w:val="none" w:sz="0" w:space="0" w:color="auto"/>
          </w:divBdr>
        </w:div>
        <w:div w:id="1757166014">
          <w:marLeft w:val="0"/>
          <w:marRight w:val="0"/>
          <w:marTop w:val="0"/>
          <w:marBottom w:val="0"/>
          <w:divBdr>
            <w:top w:val="none" w:sz="0" w:space="0" w:color="auto"/>
            <w:left w:val="none" w:sz="0" w:space="0" w:color="auto"/>
            <w:bottom w:val="none" w:sz="0" w:space="0" w:color="auto"/>
            <w:right w:val="none" w:sz="0" w:space="0" w:color="auto"/>
          </w:divBdr>
        </w:div>
        <w:div w:id="1265114154">
          <w:marLeft w:val="0"/>
          <w:marRight w:val="0"/>
          <w:marTop w:val="0"/>
          <w:marBottom w:val="0"/>
          <w:divBdr>
            <w:top w:val="none" w:sz="0" w:space="0" w:color="auto"/>
            <w:left w:val="none" w:sz="0" w:space="0" w:color="auto"/>
            <w:bottom w:val="none" w:sz="0" w:space="0" w:color="auto"/>
            <w:right w:val="none" w:sz="0" w:space="0" w:color="auto"/>
          </w:divBdr>
        </w:div>
        <w:div w:id="435292662">
          <w:marLeft w:val="0"/>
          <w:marRight w:val="0"/>
          <w:marTop w:val="0"/>
          <w:marBottom w:val="0"/>
          <w:divBdr>
            <w:top w:val="none" w:sz="0" w:space="0" w:color="auto"/>
            <w:left w:val="none" w:sz="0" w:space="0" w:color="auto"/>
            <w:bottom w:val="none" w:sz="0" w:space="0" w:color="auto"/>
            <w:right w:val="none" w:sz="0" w:space="0" w:color="auto"/>
          </w:divBdr>
        </w:div>
        <w:div w:id="1064137477">
          <w:marLeft w:val="0"/>
          <w:marRight w:val="0"/>
          <w:marTop w:val="0"/>
          <w:marBottom w:val="0"/>
          <w:divBdr>
            <w:top w:val="none" w:sz="0" w:space="0" w:color="auto"/>
            <w:left w:val="none" w:sz="0" w:space="0" w:color="auto"/>
            <w:bottom w:val="none" w:sz="0" w:space="0" w:color="auto"/>
            <w:right w:val="none" w:sz="0" w:space="0" w:color="auto"/>
          </w:divBdr>
        </w:div>
        <w:div w:id="915557738">
          <w:marLeft w:val="0"/>
          <w:marRight w:val="0"/>
          <w:marTop w:val="0"/>
          <w:marBottom w:val="0"/>
          <w:divBdr>
            <w:top w:val="none" w:sz="0" w:space="0" w:color="auto"/>
            <w:left w:val="none" w:sz="0" w:space="0" w:color="auto"/>
            <w:bottom w:val="none" w:sz="0" w:space="0" w:color="auto"/>
            <w:right w:val="none" w:sz="0" w:space="0" w:color="auto"/>
          </w:divBdr>
        </w:div>
        <w:div w:id="1846742061">
          <w:marLeft w:val="0"/>
          <w:marRight w:val="0"/>
          <w:marTop w:val="0"/>
          <w:marBottom w:val="0"/>
          <w:divBdr>
            <w:top w:val="none" w:sz="0" w:space="0" w:color="auto"/>
            <w:left w:val="none" w:sz="0" w:space="0" w:color="auto"/>
            <w:bottom w:val="none" w:sz="0" w:space="0" w:color="auto"/>
            <w:right w:val="none" w:sz="0" w:space="0" w:color="auto"/>
          </w:divBdr>
        </w:div>
        <w:div w:id="451827830">
          <w:marLeft w:val="0"/>
          <w:marRight w:val="0"/>
          <w:marTop w:val="0"/>
          <w:marBottom w:val="0"/>
          <w:divBdr>
            <w:top w:val="none" w:sz="0" w:space="0" w:color="auto"/>
            <w:left w:val="none" w:sz="0" w:space="0" w:color="auto"/>
            <w:bottom w:val="none" w:sz="0" w:space="0" w:color="auto"/>
            <w:right w:val="none" w:sz="0" w:space="0" w:color="auto"/>
          </w:divBdr>
        </w:div>
      </w:divsChild>
    </w:div>
    <w:div w:id="1485925353">
      <w:bodyDiv w:val="1"/>
      <w:marLeft w:val="0"/>
      <w:marRight w:val="0"/>
      <w:marTop w:val="0"/>
      <w:marBottom w:val="0"/>
      <w:divBdr>
        <w:top w:val="none" w:sz="0" w:space="0" w:color="auto"/>
        <w:left w:val="none" w:sz="0" w:space="0" w:color="auto"/>
        <w:bottom w:val="none" w:sz="0" w:space="0" w:color="auto"/>
        <w:right w:val="none" w:sz="0" w:space="0" w:color="auto"/>
      </w:divBdr>
      <w:divsChild>
        <w:div w:id="575939219">
          <w:marLeft w:val="0"/>
          <w:marRight w:val="0"/>
          <w:marTop w:val="0"/>
          <w:marBottom w:val="0"/>
          <w:divBdr>
            <w:top w:val="none" w:sz="0" w:space="0" w:color="auto"/>
            <w:left w:val="none" w:sz="0" w:space="0" w:color="auto"/>
            <w:bottom w:val="none" w:sz="0" w:space="0" w:color="auto"/>
            <w:right w:val="none" w:sz="0" w:space="0" w:color="auto"/>
          </w:divBdr>
        </w:div>
        <w:div w:id="1749113731">
          <w:marLeft w:val="0"/>
          <w:marRight w:val="0"/>
          <w:marTop w:val="0"/>
          <w:marBottom w:val="0"/>
          <w:divBdr>
            <w:top w:val="none" w:sz="0" w:space="0" w:color="auto"/>
            <w:left w:val="none" w:sz="0" w:space="0" w:color="auto"/>
            <w:bottom w:val="none" w:sz="0" w:space="0" w:color="auto"/>
            <w:right w:val="none" w:sz="0" w:space="0" w:color="auto"/>
          </w:divBdr>
        </w:div>
      </w:divsChild>
    </w:div>
    <w:div w:id="1587228551">
      <w:bodyDiv w:val="1"/>
      <w:marLeft w:val="0"/>
      <w:marRight w:val="0"/>
      <w:marTop w:val="0"/>
      <w:marBottom w:val="0"/>
      <w:divBdr>
        <w:top w:val="none" w:sz="0" w:space="0" w:color="auto"/>
        <w:left w:val="none" w:sz="0" w:space="0" w:color="auto"/>
        <w:bottom w:val="none" w:sz="0" w:space="0" w:color="auto"/>
        <w:right w:val="none" w:sz="0" w:space="0" w:color="auto"/>
      </w:divBdr>
      <w:divsChild>
        <w:div w:id="151725471">
          <w:marLeft w:val="0"/>
          <w:marRight w:val="0"/>
          <w:marTop w:val="0"/>
          <w:marBottom w:val="0"/>
          <w:divBdr>
            <w:top w:val="none" w:sz="0" w:space="0" w:color="auto"/>
            <w:left w:val="none" w:sz="0" w:space="0" w:color="auto"/>
            <w:bottom w:val="none" w:sz="0" w:space="0" w:color="auto"/>
            <w:right w:val="none" w:sz="0" w:space="0" w:color="auto"/>
          </w:divBdr>
        </w:div>
        <w:div w:id="1206719943">
          <w:marLeft w:val="0"/>
          <w:marRight w:val="0"/>
          <w:marTop w:val="0"/>
          <w:marBottom w:val="0"/>
          <w:divBdr>
            <w:top w:val="none" w:sz="0" w:space="0" w:color="auto"/>
            <w:left w:val="none" w:sz="0" w:space="0" w:color="auto"/>
            <w:bottom w:val="none" w:sz="0" w:space="0" w:color="auto"/>
            <w:right w:val="none" w:sz="0" w:space="0" w:color="auto"/>
          </w:divBdr>
        </w:div>
        <w:div w:id="1856387001">
          <w:marLeft w:val="0"/>
          <w:marRight w:val="0"/>
          <w:marTop w:val="0"/>
          <w:marBottom w:val="0"/>
          <w:divBdr>
            <w:top w:val="none" w:sz="0" w:space="0" w:color="auto"/>
            <w:left w:val="none" w:sz="0" w:space="0" w:color="auto"/>
            <w:bottom w:val="none" w:sz="0" w:space="0" w:color="auto"/>
            <w:right w:val="none" w:sz="0" w:space="0" w:color="auto"/>
          </w:divBdr>
        </w:div>
        <w:div w:id="1360549996">
          <w:marLeft w:val="0"/>
          <w:marRight w:val="0"/>
          <w:marTop w:val="0"/>
          <w:marBottom w:val="0"/>
          <w:divBdr>
            <w:top w:val="none" w:sz="0" w:space="0" w:color="auto"/>
            <w:left w:val="none" w:sz="0" w:space="0" w:color="auto"/>
            <w:bottom w:val="none" w:sz="0" w:space="0" w:color="auto"/>
            <w:right w:val="none" w:sz="0" w:space="0" w:color="auto"/>
          </w:divBdr>
        </w:div>
        <w:div w:id="1363820009">
          <w:marLeft w:val="0"/>
          <w:marRight w:val="0"/>
          <w:marTop w:val="0"/>
          <w:marBottom w:val="0"/>
          <w:divBdr>
            <w:top w:val="none" w:sz="0" w:space="0" w:color="auto"/>
            <w:left w:val="none" w:sz="0" w:space="0" w:color="auto"/>
            <w:bottom w:val="none" w:sz="0" w:space="0" w:color="auto"/>
            <w:right w:val="none" w:sz="0" w:space="0" w:color="auto"/>
          </w:divBdr>
        </w:div>
        <w:div w:id="732697341">
          <w:marLeft w:val="0"/>
          <w:marRight w:val="0"/>
          <w:marTop w:val="0"/>
          <w:marBottom w:val="0"/>
          <w:divBdr>
            <w:top w:val="none" w:sz="0" w:space="0" w:color="auto"/>
            <w:left w:val="none" w:sz="0" w:space="0" w:color="auto"/>
            <w:bottom w:val="none" w:sz="0" w:space="0" w:color="auto"/>
            <w:right w:val="none" w:sz="0" w:space="0" w:color="auto"/>
          </w:divBdr>
        </w:div>
        <w:div w:id="59906249">
          <w:marLeft w:val="0"/>
          <w:marRight w:val="0"/>
          <w:marTop w:val="0"/>
          <w:marBottom w:val="0"/>
          <w:divBdr>
            <w:top w:val="none" w:sz="0" w:space="0" w:color="auto"/>
            <w:left w:val="none" w:sz="0" w:space="0" w:color="auto"/>
            <w:bottom w:val="none" w:sz="0" w:space="0" w:color="auto"/>
            <w:right w:val="none" w:sz="0" w:space="0" w:color="auto"/>
          </w:divBdr>
        </w:div>
        <w:div w:id="1983847362">
          <w:marLeft w:val="0"/>
          <w:marRight w:val="0"/>
          <w:marTop w:val="0"/>
          <w:marBottom w:val="0"/>
          <w:divBdr>
            <w:top w:val="none" w:sz="0" w:space="0" w:color="auto"/>
            <w:left w:val="none" w:sz="0" w:space="0" w:color="auto"/>
            <w:bottom w:val="none" w:sz="0" w:space="0" w:color="auto"/>
            <w:right w:val="none" w:sz="0" w:space="0" w:color="auto"/>
          </w:divBdr>
        </w:div>
        <w:div w:id="1949122890">
          <w:marLeft w:val="0"/>
          <w:marRight w:val="0"/>
          <w:marTop w:val="0"/>
          <w:marBottom w:val="0"/>
          <w:divBdr>
            <w:top w:val="none" w:sz="0" w:space="0" w:color="auto"/>
            <w:left w:val="none" w:sz="0" w:space="0" w:color="auto"/>
            <w:bottom w:val="none" w:sz="0" w:space="0" w:color="auto"/>
            <w:right w:val="none" w:sz="0" w:space="0" w:color="auto"/>
          </w:divBdr>
        </w:div>
        <w:div w:id="1154640298">
          <w:marLeft w:val="0"/>
          <w:marRight w:val="0"/>
          <w:marTop w:val="0"/>
          <w:marBottom w:val="0"/>
          <w:divBdr>
            <w:top w:val="none" w:sz="0" w:space="0" w:color="auto"/>
            <w:left w:val="none" w:sz="0" w:space="0" w:color="auto"/>
            <w:bottom w:val="none" w:sz="0" w:space="0" w:color="auto"/>
            <w:right w:val="none" w:sz="0" w:space="0" w:color="auto"/>
          </w:divBdr>
        </w:div>
        <w:div w:id="1079522840">
          <w:marLeft w:val="0"/>
          <w:marRight w:val="0"/>
          <w:marTop w:val="0"/>
          <w:marBottom w:val="0"/>
          <w:divBdr>
            <w:top w:val="none" w:sz="0" w:space="0" w:color="auto"/>
            <w:left w:val="none" w:sz="0" w:space="0" w:color="auto"/>
            <w:bottom w:val="none" w:sz="0" w:space="0" w:color="auto"/>
            <w:right w:val="none" w:sz="0" w:space="0" w:color="auto"/>
          </w:divBdr>
        </w:div>
      </w:divsChild>
    </w:div>
    <w:div w:id="1701054869">
      <w:bodyDiv w:val="1"/>
      <w:marLeft w:val="0"/>
      <w:marRight w:val="0"/>
      <w:marTop w:val="0"/>
      <w:marBottom w:val="0"/>
      <w:divBdr>
        <w:top w:val="none" w:sz="0" w:space="0" w:color="auto"/>
        <w:left w:val="none" w:sz="0" w:space="0" w:color="auto"/>
        <w:bottom w:val="none" w:sz="0" w:space="0" w:color="auto"/>
        <w:right w:val="none" w:sz="0" w:space="0" w:color="auto"/>
      </w:divBdr>
      <w:divsChild>
        <w:div w:id="2054308964">
          <w:marLeft w:val="0"/>
          <w:marRight w:val="0"/>
          <w:marTop w:val="0"/>
          <w:marBottom w:val="0"/>
          <w:divBdr>
            <w:top w:val="none" w:sz="0" w:space="0" w:color="auto"/>
            <w:left w:val="none" w:sz="0" w:space="0" w:color="auto"/>
            <w:bottom w:val="none" w:sz="0" w:space="0" w:color="auto"/>
            <w:right w:val="none" w:sz="0" w:space="0" w:color="auto"/>
          </w:divBdr>
        </w:div>
        <w:div w:id="1093281726">
          <w:marLeft w:val="0"/>
          <w:marRight w:val="0"/>
          <w:marTop w:val="0"/>
          <w:marBottom w:val="0"/>
          <w:divBdr>
            <w:top w:val="none" w:sz="0" w:space="0" w:color="auto"/>
            <w:left w:val="none" w:sz="0" w:space="0" w:color="auto"/>
            <w:bottom w:val="none" w:sz="0" w:space="0" w:color="auto"/>
            <w:right w:val="none" w:sz="0" w:space="0" w:color="auto"/>
          </w:divBdr>
        </w:div>
        <w:div w:id="705179559">
          <w:marLeft w:val="0"/>
          <w:marRight w:val="0"/>
          <w:marTop w:val="0"/>
          <w:marBottom w:val="0"/>
          <w:divBdr>
            <w:top w:val="none" w:sz="0" w:space="0" w:color="auto"/>
            <w:left w:val="none" w:sz="0" w:space="0" w:color="auto"/>
            <w:bottom w:val="none" w:sz="0" w:space="0" w:color="auto"/>
            <w:right w:val="none" w:sz="0" w:space="0" w:color="auto"/>
          </w:divBdr>
        </w:div>
        <w:div w:id="803154809">
          <w:marLeft w:val="0"/>
          <w:marRight w:val="0"/>
          <w:marTop w:val="0"/>
          <w:marBottom w:val="0"/>
          <w:divBdr>
            <w:top w:val="none" w:sz="0" w:space="0" w:color="auto"/>
            <w:left w:val="none" w:sz="0" w:space="0" w:color="auto"/>
            <w:bottom w:val="none" w:sz="0" w:space="0" w:color="auto"/>
            <w:right w:val="none" w:sz="0" w:space="0" w:color="auto"/>
          </w:divBdr>
        </w:div>
      </w:divsChild>
    </w:div>
    <w:div w:id="1716854388">
      <w:bodyDiv w:val="1"/>
      <w:marLeft w:val="0"/>
      <w:marRight w:val="0"/>
      <w:marTop w:val="0"/>
      <w:marBottom w:val="0"/>
      <w:divBdr>
        <w:top w:val="none" w:sz="0" w:space="0" w:color="auto"/>
        <w:left w:val="none" w:sz="0" w:space="0" w:color="auto"/>
        <w:bottom w:val="none" w:sz="0" w:space="0" w:color="auto"/>
        <w:right w:val="none" w:sz="0" w:space="0" w:color="auto"/>
      </w:divBdr>
    </w:div>
    <w:div w:id="1720934948">
      <w:bodyDiv w:val="1"/>
      <w:marLeft w:val="0"/>
      <w:marRight w:val="0"/>
      <w:marTop w:val="0"/>
      <w:marBottom w:val="0"/>
      <w:divBdr>
        <w:top w:val="none" w:sz="0" w:space="0" w:color="auto"/>
        <w:left w:val="none" w:sz="0" w:space="0" w:color="auto"/>
        <w:bottom w:val="none" w:sz="0" w:space="0" w:color="auto"/>
        <w:right w:val="none" w:sz="0" w:space="0" w:color="auto"/>
      </w:divBdr>
    </w:div>
    <w:div w:id="1743530254">
      <w:bodyDiv w:val="1"/>
      <w:marLeft w:val="0"/>
      <w:marRight w:val="0"/>
      <w:marTop w:val="0"/>
      <w:marBottom w:val="0"/>
      <w:divBdr>
        <w:top w:val="none" w:sz="0" w:space="0" w:color="auto"/>
        <w:left w:val="none" w:sz="0" w:space="0" w:color="auto"/>
        <w:bottom w:val="none" w:sz="0" w:space="0" w:color="auto"/>
        <w:right w:val="none" w:sz="0" w:space="0" w:color="auto"/>
      </w:divBdr>
    </w:div>
    <w:div w:id="1754817052">
      <w:bodyDiv w:val="1"/>
      <w:marLeft w:val="0"/>
      <w:marRight w:val="0"/>
      <w:marTop w:val="0"/>
      <w:marBottom w:val="0"/>
      <w:divBdr>
        <w:top w:val="none" w:sz="0" w:space="0" w:color="auto"/>
        <w:left w:val="none" w:sz="0" w:space="0" w:color="auto"/>
        <w:bottom w:val="none" w:sz="0" w:space="0" w:color="auto"/>
        <w:right w:val="none" w:sz="0" w:space="0" w:color="auto"/>
      </w:divBdr>
    </w:div>
    <w:div w:id="1837108716">
      <w:bodyDiv w:val="1"/>
      <w:marLeft w:val="0"/>
      <w:marRight w:val="0"/>
      <w:marTop w:val="0"/>
      <w:marBottom w:val="0"/>
      <w:divBdr>
        <w:top w:val="none" w:sz="0" w:space="0" w:color="auto"/>
        <w:left w:val="none" w:sz="0" w:space="0" w:color="auto"/>
        <w:bottom w:val="none" w:sz="0" w:space="0" w:color="auto"/>
        <w:right w:val="none" w:sz="0" w:space="0" w:color="auto"/>
      </w:divBdr>
      <w:divsChild>
        <w:div w:id="494302604">
          <w:marLeft w:val="0"/>
          <w:marRight w:val="0"/>
          <w:marTop w:val="0"/>
          <w:marBottom w:val="0"/>
          <w:divBdr>
            <w:top w:val="none" w:sz="0" w:space="0" w:color="auto"/>
            <w:left w:val="none" w:sz="0" w:space="0" w:color="auto"/>
            <w:bottom w:val="none" w:sz="0" w:space="0" w:color="auto"/>
            <w:right w:val="none" w:sz="0" w:space="0" w:color="auto"/>
          </w:divBdr>
        </w:div>
        <w:div w:id="383875254">
          <w:marLeft w:val="0"/>
          <w:marRight w:val="0"/>
          <w:marTop w:val="0"/>
          <w:marBottom w:val="0"/>
          <w:divBdr>
            <w:top w:val="none" w:sz="0" w:space="0" w:color="auto"/>
            <w:left w:val="none" w:sz="0" w:space="0" w:color="auto"/>
            <w:bottom w:val="none" w:sz="0" w:space="0" w:color="auto"/>
            <w:right w:val="none" w:sz="0" w:space="0" w:color="auto"/>
          </w:divBdr>
        </w:div>
        <w:div w:id="2113240379">
          <w:marLeft w:val="0"/>
          <w:marRight w:val="0"/>
          <w:marTop w:val="0"/>
          <w:marBottom w:val="0"/>
          <w:divBdr>
            <w:top w:val="none" w:sz="0" w:space="0" w:color="auto"/>
            <w:left w:val="none" w:sz="0" w:space="0" w:color="auto"/>
            <w:bottom w:val="none" w:sz="0" w:space="0" w:color="auto"/>
            <w:right w:val="none" w:sz="0" w:space="0" w:color="auto"/>
          </w:divBdr>
        </w:div>
        <w:div w:id="1657613985">
          <w:marLeft w:val="0"/>
          <w:marRight w:val="0"/>
          <w:marTop w:val="0"/>
          <w:marBottom w:val="0"/>
          <w:divBdr>
            <w:top w:val="none" w:sz="0" w:space="0" w:color="auto"/>
            <w:left w:val="none" w:sz="0" w:space="0" w:color="auto"/>
            <w:bottom w:val="none" w:sz="0" w:space="0" w:color="auto"/>
            <w:right w:val="none" w:sz="0" w:space="0" w:color="auto"/>
          </w:divBdr>
        </w:div>
      </w:divsChild>
    </w:div>
    <w:div w:id="1858737355">
      <w:bodyDiv w:val="1"/>
      <w:marLeft w:val="0"/>
      <w:marRight w:val="0"/>
      <w:marTop w:val="0"/>
      <w:marBottom w:val="0"/>
      <w:divBdr>
        <w:top w:val="none" w:sz="0" w:space="0" w:color="auto"/>
        <w:left w:val="none" w:sz="0" w:space="0" w:color="auto"/>
        <w:bottom w:val="none" w:sz="0" w:space="0" w:color="auto"/>
        <w:right w:val="none" w:sz="0" w:space="0" w:color="auto"/>
      </w:divBdr>
    </w:div>
    <w:div w:id="1895316360">
      <w:bodyDiv w:val="1"/>
      <w:marLeft w:val="0"/>
      <w:marRight w:val="0"/>
      <w:marTop w:val="0"/>
      <w:marBottom w:val="0"/>
      <w:divBdr>
        <w:top w:val="none" w:sz="0" w:space="0" w:color="auto"/>
        <w:left w:val="none" w:sz="0" w:space="0" w:color="auto"/>
        <w:bottom w:val="none" w:sz="0" w:space="0" w:color="auto"/>
        <w:right w:val="none" w:sz="0" w:space="0" w:color="auto"/>
      </w:divBdr>
    </w:div>
    <w:div w:id="2018850487">
      <w:bodyDiv w:val="1"/>
      <w:marLeft w:val="0"/>
      <w:marRight w:val="0"/>
      <w:marTop w:val="0"/>
      <w:marBottom w:val="0"/>
      <w:divBdr>
        <w:top w:val="none" w:sz="0" w:space="0" w:color="auto"/>
        <w:left w:val="none" w:sz="0" w:space="0" w:color="auto"/>
        <w:bottom w:val="none" w:sz="0" w:space="0" w:color="auto"/>
        <w:right w:val="none" w:sz="0" w:space="0" w:color="auto"/>
      </w:divBdr>
    </w:div>
    <w:div w:id="2046637293">
      <w:bodyDiv w:val="1"/>
      <w:marLeft w:val="0"/>
      <w:marRight w:val="0"/>
      <w:marTop w:val="0"/>
      <w:marBottom w:val="0"/>
      <w:divBdr>
        <w:top w:val="none" w:sz="0" w:space="0" w:color="auto"/>
        <w:left w:val="none" w:sz="0" w:space="0" w:color="auto"/>
        <w:bottom w:val="none" w:sz="0" w:space="0" w:color="auto"/>
        <w:right w:val="none" w:sz="0" w:space="0" w:color="auto"/>
      </w:divBdr>
    </w:div>
    <w:div w:id="2058622459">
      <w:bodyDiv w:val="1"/>
      <w:marLeft w:val="0"/>
      <w:marRight w:val="0"/>
      <w:marTop w:val="0"/>
      <w:marBottom w:val="0"/>
      <w:divBdr>
        <w:top w:val="none" w:sz="0" w:space="0" w:color="auto"/>
        <w:left w:val="none" w:sz="0" w:space="0" w:color="auto"/>
        <w:bottom w:val="none" w:sz="0" w:space="0" w:color="auto"/>
        <w:right w:val="none" w:sz="0" w:space="0" w:color="auto"/>
      </w:divBdr>
      <w:divsChild>
        <w:div w:id="786237962">
          <w:marLeft w:val="0"/>
          <w:marRight w:val="0"/>
          <w:marTop w:val="0"/>
          <w:marBottom w:val="0"/>
          <w:divBdr>
            <w:top w:val="none" w:sz="0" w:space="0" w:color="auto"/>
            <w:left w:val="none" w:sz="0" w:space="0" w:color="auto"/>
            <w:bottom w:val="none" w:sz="0" w:space="0" w:color="auto"/>
            <w:right w:val="none" w:sz="0" w:space="0" w:color="auto"/>
          </w:divBdr>
        </w:div>
        <w:div w:id="871839756">
          <w:marLeft w:val="0"/>
          <w:marRight w:val="0"/>
          <w:marTop w:val="0"/>
          <w:marBottom w:val="0"/>
          <w:divBdr>
            <w:top w:val="none" w:sz="0" w:space="0" w:color="auto"/>
            <w:left w:val="none" w:sz="0" w:space="0" w:color="auto"/>
            <w:bottom w:val="none" w:sz="0" w:space="0" w:color="auto"/>
            <w:right w:val="none" w:sz="0" w:space="0" w:color="auto"/>
          </w:divBdr>
        </w:div>
        <w:div w:id="878929770">
          <w:marLeft w:val="0"/>
          <w:marRight w:val="0"/>
          <w:marTop w:val="0"/>
          <w:marBottom w:val="0"/>
          <w:divBdr>
            <w:top w:val="none" w:sz="0" w:space="0" w:color="auto"/>
            <w:left w:val="none" w:sz="0" w:space="0" w:color="auto"/>
            <w:bottom w:val="none" w:sz="0" w:space="0" w:color="auto"/>
            <w:right w:val="none" w:sz="0" w:space="0" w:color="auto"/>
          </w:divBdr>
        </w:div>
        <w:div w:id="117574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8.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nercwlctdb.ad.nerc.ac.uk\shared\shared1\hew\Projects\Somerset%20Levels%20and%20Moors\Moors%20ditch%20storage%202014\Work%20Files\Storage%20estimate%20calculations\Storage%20estimation_LinearSteady%20Model_Latest%20version_25_09_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rcwlctdb.ad.nerc.ac.uk\shared\shared1\hew\Projects\Somerset%20Levels%20and%20Moors\Moors%20ditch%20storage%202014\Work%20Files\Storage%20estimate%20calculations\Storage%20estimation_LinearSteady%20Model_backup%20version_chec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Winter rainfall volume (m3)</c:v>
          </c:tx>
          <c:invertIfNegative val="0"/>
          <c:cat>
            <c:strRef>
              <c:f>Model_Reworked_Latest!$A$67:$A$76</c:f>
              <c:strCache>
                <c:ptCount val="10"/>
                <c:pt idx="0">
                  <c:v>Allermoor</c:v>
                </c:pt>
                <c:pt idx="1">
                  <c:v>Brue Valley North</c:v>
                </c:pt>
                <c:pt idx="2">
                  <c:v>Brue Valley South</c:v>
                </c:pt>
                <c:pt idx="3">
                  <c:v>Curry Moor</c:v>
                </c:pt>
                <c:pt idx="4">
                  <c:v>Kings Sedgemoor</c:v>
                </c:pt>
                <c:pt idx="5">
                  <c:v>North Moor</c:v>
                </c:pt>
                <c:pt idx="6">
                  <c:v>Southlake</c:v>
                </c:pt>
                <c:pt idx="7">
                  <c:v>West Moor</c:v>
                </c:pt>
                <c:pt idx="8">
                  <c:v>West Sedgemoor</c:v>
                </c:pt>
                <c:pt idx="9">
                  <c:v>Wet Moor</c:v>
                </c:pt>
              </c:strCache>
            </c:strRef>
          </c:cat>
          <c:val>
            <c:numRef>
              <c:f>Model_Reworked_Latest!$B$67:$B$76</c:f>
              <c:numCache>
                <c:formatCode>0</c:formatCode>
                <c:ptCount val="10"/>
                <c:pt idx="0">
                  <c:v>3627039.6000010297</c:v>
                </c:pt>
                <c:pt idx="1">
                  <c:v>11311009.574999297</c:v>
                </c:pt>
                <c:pt idx="2">
                  <c:v>18126599.400003046</c:v>
                </c:pt>
                <c:pt idx="3">
                  <c:v>3855016.1999997688</c:v>
                </c:pt>
                <c:pt idx="4">
                  <c:v>17476298.669773478</c:v>
                </c:pt>
                <c:pt idx="5">
                  <c:v>7077577.0687529175</c:v>
                </c:pt>
                <c:pt idx="6">
                  <c:v>820820.35000008845</c:v>
                </c:pt>
                <c:pt idx="7">
                  <c:v>2533972.479999966</c:v>
                </c:pt>
                <c:pt idx="8">
                  <c:v>7601845.5200000685</c:v>
                </c:pt>
                <c:pt idx="9">
                  <c:v>6895848.9599996768</c:v>
                </c:pt>
              </c:numCache>
            </c:numRef>
          </c:val>
        </c:ser>
        <c:ser>
          <c:idx val="4"/>
          <c:order val="1"/>
          <c:tx>
            <c:strRef>
              <c:f>Model_Reworked_Latest!$C$66</c:f>
              <c:strCache>
                <c:ptCount val="1"/>
                <c:pt idx="0">
                  <c:v>Dummy rain</c:v>
                </c:pt>
              </c:strCache>
            </c:strRef>
          </c:tx>
          <c:invertIfNegative val="0"/>
          <c:val>
            <c:numRef>
              <c:f>Model_Reworked_Latest!$C$67:$C$76</c:f>
              <c:numCache>
                <c:formatCode>0</c:formatCode>
                <c:ptCount val="10"/>
                <c:pt idx="0">
                  <c:v>0</c:v>
                </c:pt>
                <c:pt idx="1">
                  <c:v>0</c:v>
                </c:pt>
                <c:pt idx="2">
                  <c:v>0</c:v>
                </c:pt>
                <c:pt idx="3">
                  <c:v>0</c:v>
                </c:pt>
                <c:pt idx="4">
                  <c:v>0</c:v>
                </c:pt>
                <c:pt idx="5">
                  <c:v>0</c:v>
                </c:pt>
                <c:pt idx="6">
                  <c:v>0</c:v>
                </c:pt>
                <c:pt idx="7">
                  <c:v>0</c:v>
                </c:pt>
                <c:pt idx="8">
                  <c:v>0</c:v>
                </c:pt>
                <c:pt idx="9">
                  <c:v>0</c:v>
                </c:pt>
              </c:numCache>
            </c:numRef>
          </c:val>
        </c:ser>
        <c:ser>
          <c:idx val="5"/>
          <c:order val="2"/>
          <c:tx>
            <c:strRef>
              <c:f>Model_Reworked_Latest!$D$66</c:f>
              <c:strCache>
                <c:ptCount val="1"/>
                <c:pt idx="0">
                  <c:v>Dummy rain</c:v>
                </c:pt>
              </c:strCache>
            </c:strRef>
          </c:tx>
          <c:invertIfNegative val="0"/>
          <c:val>
            <c:numRef>
              <c:f>Model_Reworked_Latest!$D$67:$D$76</c:f>
              <c:numCache>
                <c:formatCode>0</c:formatCode>
                <c:ptCount val="10"/>
                <c:pt idx="0">
                  <c:v>0</c:v>
                </c:pt>
                <c:pt idx="1">
                  <c:v>0</c:v>
                </c:pt>
                <c:pt idx="2">
                  <c:v>0</c:v>
                </c:pt>
                <c:pt idx="3">
                  <c:v>0</c:v>
                </c:pt>
                <c:pt idx="4">
                  <c:v>0</c:v>
                </c:pt>
                <c:pt idx="5">
                  <c:v>0</c:v>
                </c:pt>
                <c:pt idx="6">
                  <c:v>0</c:v>
                </c:pt>
                <c:pt idx="7">
                  <c:v>0</c:v>
                </c:pt>
                <c:pt idx="8">
                  <c:v>0</c:v>
                </c:pt>
                <c:pt idx="9">
                  <c:v>0</c:v>
                </c:pt>
              </c:numCache>
            </c:numRef>
          </c:val>
        </c:ser>
        <c:ser>
          <c:idx val="6"/>
          <c:order val="3"/>
          <c:tx>
            <c:strRef>
              <c:f>Model_Reworked_Latest!$E$66</c:f>
              <c:strCache>
                <c:ptCount val="1"/>
                <c:pt idx="0">
                  <c:v>Dummy rain</c:v>
                </c:pt>
              </c:strCache>
            </c:strRef>
          </c:tx>
          <c:invertIfNegative val="0"/>
          <c:val>
            <c:numRef>
              <c:f>Model_Reworked_Latest!$E$67:$E$76</c:f>
              <c:numCache>
                <c:formatCode>0</c:formatCode>
                <c:ptCount val="10"/>
                <c:pt idx="0">
                  <c:v>0</c:v>
                </c:pt>
                <c:pt idx="1">
                  <c:v>0</c:v>
                </c:pt>
                <c:pt idx="2">
                  <c:v>0</c:v>
                </c:pt>
                <c:pt idx="3">
                  <c:v>0</c:v>
                </c:pt>
                <c:pt idx="4">
                  <c:v>0</c:v>
                </c:pt>
                <c:pt idx="5">
                  <c:v>0</c:v>
                </c:pt>
                <c:pt idx="6">
                  <c:v>0</c:v>
                </c:pt>
                <c:pt idx="7">
                  <c:v>0</c:v>
                </c:pt>
                <c:pt idx="8">
                  <c:v>0</c:v>
                </c:pt>
                <c:pt idx="9">
                  <c:v>0</c:v>
                </c:pt>
              </c:numCache>
            </c:numRef>
          </c:val>
        </c:ser>
        <c:dLbls>
          <c:showLegendKey val="0"/>
          <c:showVal val="0"/>
          <c:showCatName val="0"/>
          <c:showSerName val="0"/>
          <c:showPercent val="0"/>
          <c:showBubbleSize val="0"/>
        </c:dLbls>
        <c:gapWidth val="150"/>
        <c:axId val="71107712"/>
        <c:axId val="71109248"/>
      </c:barChart>
      <c:barChart>
        <c:barDir val="col"/>
        <c:grouping val="clustered"/>
        <c:varyColors val="0"/>
        <c:ser>
          <c:idx val="7"/>
          <c:order val="4"/>
          <c:tx>
            <c:strRef>
              <c:f>Model_Reworked_Latest!$F$66</c:f>
              <c:strCache>
                <c:ptCount val="1"/>
                <c:pt idx="0">
                  <c:v>Dummy Dummy</c:v>
                </c:pt>
              </c:strCache>
            </c:strRef>
          </c:tx>
          <c:invertIfNegative val="0"/>
          <c:val>
            <c:numRef>
              <c:f>Model_Reworked_Latest!$F$67:$F$76</c:f>
              <c:numCache>
                <c:formatCode>0</c:formatCode>
                <c:ptCount val="10"/>
                <c:pt idx="0">
                  <c:v>0</c:v>
                </c:pt>
                <c:pt idx="1">
                  <c:v>0</c:v>
                </c:pt>
                <c:pt idx="2">
                  <c:v>0</c:v>
                </c:pt>
                <c:pt idx="3">
                  <c:v>0</c:v>
                </c:pt>
                <c:pt idx="4">
                  <c:v>0</c:v>
                </c:pt>
                <c:pt idx="5">
                  <c:v>0</c:v>
                </c:pt>
                <c:pt idx="6">
                  <c:v>0</c:v>
                </c:pt>
                <c:pt idx="7">
                  <c:v>0</c:v>
                </c:pt>
                <c:pt idx="8">
                  <c:v>0</c:v>
                </c:pt>
                <c:pt idx="9">
                  <c:v>0</c:v>
                </c:pt>
              </c:numCache>
            </c:numRef>
          </c:val>
        </c:ser>
        <c:ser>
          <c:idx val="1"/>
          <c:order val="5"/>
          <c:tx>
            <c:strRef>
              <c:f>Model_Reworked_Latest!$H$66</c:f>
              <c:strCache>
                <c:ptCount val="1"/>
                <c:pt idx="0">
                  <c:v>Theoretical max ditch storage as % of Winter rainfall</c:v>
                </c:pt>
              </c:strCache>
            </c:strRef>
          </c:tx>
          <c:invertIfNegative val="0"/>
          <c:cat>
            <c:strRef>
              <c:f>Model_Reworked_Latest!$A$67:$A$76</c:f>
              <c:strCache>
                <c:ptCount val="10"/>
                <c:pt idx="0">
                  <c:v>Allermoor</c:v>
                </c:pt>
                <c:pt idx="1">
                  <c:v>Brue Valley North</c:v>
                </c:pt>
                <c:pt idx="2">
                  <c:v>Brue Valley South</c:v>
                </c:pt>
                <c:pt idx="3">
                  <c:v>Curry Moor</c:v>
                </c:pt>
                <c:pt idx="4">
                  <c:v>Kings Sedgemoor</c:v>
                </c:pt>
                <c:pt idx="5">
                  <c:v>North Moor</c:v>
                </c:pt>
                <c:pt idx="6">
                  <c:v>Southlake</c:v>
                </c:pt>
                <c:pt idx="7">
                  <c:v>West Moor</c:v>
                </c:pt>
                <c:pt idx="8">
                  <c:v>West Sedgemoor</c:v>
                </c:pt>
                <c:pt idx="9">
                  <c:v>Wet Moor</c:v>
                </c:pt>
              </c:strCache>
            </c:strRef>
          </c:cat>
          <c:val>
            <c:numRef>
              <c:f>Model_Reworked_Latest!$H$67:$H$76</c:f>
              <c:numCache>
                <c:formatCode>0.0</c:formatCode>
                <c:ptCount val="10"/>
                <c:pt idx="0">
                  <c:v>10.977878488006768</c:v>
                </c:pt>
                <c:pt idx="1">
                  <c:v>10.907037005139102</c:v>
                </c:pt>
                <c:pt idx="2">
                  <c:v>8.9445900150456694</c:v>
                </c:pt>
                <c:pt idx="3">
                  <c:v>9.1977823595143704</c:v>
                </c:pt>
                <c:pt idx="4">
                  <c:v>10.179226354587454</c:v>
                </c:pt>
                <c:pt idx="5">
                  <c:v>9.9295845622466796</c:v>
                </c:pt>
                <c:pt idx="6">
                  <c:v>13.17657389951265</c:v>
                </c:pt>
                <c:pt idx="7">
                  <c:v>8.5556572421813843</c:v>
                </c:pt>
                <c:pt idx="8">
                  <c:v>8.4029331866769343</c:v>
                </c:pt>
                <c:pt idx="9">
                  <c:v>6.9842887046067572</c:v>
                </c:pt>
              </c:numCache>
            </c:numRef>
          </c:val>
        </c:ser>
        <c:ser>
          <c:idx val="2"/>
          <c:order val="6"/>
          <c:tx>
            <c:strRef>
              <c:f>Model_Reworked_Latest!$J$66</c:f>
              <c:strCache>
                <c:ptCount val="1"/>
                <c:pt idx="0">
                  <c:v>Current ditch storage as % of winter rainfall</c:v>
                </c:pt>
              </c:strCache>
            </c:strRef>
          </c:tx>
          <c:invertIfNegative val="0"/>
          <c:cat>
            <c:strRef>
              <c:f>Model_Reworked_Latest!$A$67:$A$76</c:f>
              <c:strCache>
                <c:ptCount val="10"/>
                <c:pt idx="0">
                  <c:v>Allermoor</c:v>
                </c:pt>
                <c:pt idx="1">
                  <c:v>Brue Valley North</c:v>
                </c:pt>
                <c:pt idx="2">
                  <c:v>Brue Valley South</c:v>
                </c:pt>
                <c:pt idx="3">
                  <c:v>Curry Moor</c:v>
                </c:pt>
                <c:pt idx="4">
                  <c:v>Kings Sedgemoor</c:v>
                </c:pt>
                <c:pt idx="5">
                  <c:v>North Moor</c:v>
                </c:pt>
                <c:pt idx="6">
                  <c:v>Southlake</c:v>
                </c:pt>
                <c:pt idx="7">
                  <c:v>West Moor</c:v>
                </c:pt>
                <c:pt idx="8">
                  <c:v>West Sedgemoor</c:v>
                </c:pt>
                <c:pt idx="9">
                  <c:v>Wet Moor</c:v>
                </c:pt>
              </c:strCache>
            </c:strRef>
          </c:cat>
          <c:val>
            <c:numRef>
              <c:f>Model_Reworked_Latest!$J$67:$J$76</c:f>
              <c:numCache>
                <c:formatCode>0.0</c:formatCode>
                <c:ptCount val="10"/>
                <c:pt idx="0">
                  <c:v>10.811130928923102</c:v>
                </c:pt>
                <c:pt idx="1">
                  <c:v>10.390690523308786</c:v>
                </c:pt>
                <c:pt idx="2">
                  <c:v>8.466883203695355</c:v>
                </c:pt>
                <c:pt idx="3">
                  <c:v>9.1454868594332233</c:v>
                </c:pt>
                <c:pt idx="4">
                  <c:v>9.1920722479894525</c:v>
                </c:pt>
                <c:pt idx="5">
                  <c:v>9.2122204204394862</c:v>
                </c:pt>
                <c:pt idx="6">
                  <c:v>2.339854268963717</c:v>
                </c:pt>
                <c:pt idx="7">
                  <c:v>7.152484939378744</c:v>
                </c:pt>
                <c:pt idx="8">
                  <c:v>6.4495391113919363</c:v>
                </c:pt>
                <c:pt idx="9">
                  <c:v>5.0969793862772841</c:v>
                </c:pt>
              </c:numCache>
            </c:numRef>
          </c:val>
        </c:ser>
        <c:ser>
          <c:idx val="3"/>
          <c:order val="7"/>
          <c:tx>
            <c:strRef>
              <c:f>Model_Reworked_Latest!$L$66</c:f>
              <c:strCache>
                <c:ptCount val="1"/>
                <c:pt idx="0">
                  <c:v>Summer ditch storage as % of winter rainfall</c:v>
                </c:pt>
              </c:strCache>
            </c:strRef>
          </c:tx>
          <c:invertIfNegative val="0"/>
          <c:cat>
            <c:strRef>
              <c:f>Model_Reworked_Latest!$A$67:$A$76</c:f>
              <c:strCache>
                <c:ptCount val="10"/>
                <c:pt idx="0">
                  <c:v>Allermoor</c:v>
                </c:pt>
                <c:pt idx="1">
                  <c:v>Brue Valley North</c:v>
                </c:pt>
                <c:pt idx="2">
                  <c:v>Brue Valley South</c:v>
                </c:pt>
                <c:pt idx="3">
                  <c:v>Curry Moor</c:v>
                </c:pt>
                <c:pt idx="4">
                  <c:v>Kings Sedgemoor</c:v>
                </c:pt>
                <c:pt idx="5">
                  <c:v>North Moor</c:v>
                </c:pt>
                <c:pt idx="6">
                  <c:v>Southlake</c:v>
                </c:pt>
                <c:pt idx="7">
                  <c:v>West Moor</c:v>
                </c:pt>
                <c:pt idx="8">
                  <c:v>West Sedgemoor</c:v>
                </c:pt>
                <c:pt idx="9">
                  <c:v>Wet Moor</c:v>
                </c:pt>
              </c:strCache>
            </c:strRef>
          </c:cat>
          <c:val>
            <c:numRef>
              <c:f>Model_Reworked_Latest!$L$67:$L$76</c:f>
              <c:numCache>
                <c:formatCode>0.0</c:formatCode>
                <c:ptCount val="10"/>
                <c:pt idx="0">
                  <c:v>5.4889392440033884</c:v>
                </c:pt>
                <c:pt idx="1">
                  <c:v>5.4535185025695485</c:v>
                </c:pt>
                <c:pt idx="2">
                  <c:v>4.4722950075228347</c:v>
                </c:pt>
                <c:pt idx="3">
                  <c:v>4.5988911797571852</c:v>
                </c:pt>
                <c:pt idx="4">
                  <c:v>5.0896131772937299</c:v>
                </c:pt>
                <c:pt idx="5">
                  <c:v>4.9647922811233389</c:v>
                </c:pt>
                <c:pt idx="6">
                  <c:v>6.5882869497563226</c:v>
                </c:pt>
                <c:pt idx="7">
                  <c:v>4.2778286210906904</c:v>
                </c:pt>
                <c:pt idx="8">
                  <c:v>4.2014665933384725</c:v>
                </c:pt>
                <c:pt idx="9">
                  <c:v>3.4921443523033786</c:v>
                </c:pt>
              </c:numCache>
            </c:numRef>
          </c:val>
        </c:ser>
        <c:dLbls>
          <c:showLegendKey val="0"/>
          <c:showVal val="0"/>
          <c:showCatName val="0"/>
          <c:showSerName val="0"/>
          <c:showPercent val="0"/>
          <c:showBubbleSize val="0"/>
        </c:dLbls>
        <c:gapWidth val="150"/>
        <c:axId val="71154304"/>
        <c:axId val="71152384"/>
      </c:barChart>
      <c:catAx>
        <c:axId val="71107712"/>
        <c:scaling>
          <c:orientation val="minMax"/>
        </c:scaling>
        <c:delete val="0"/>
        <c:axPos val="b"/>
        <c:majorTickMark val="out"/>
        <c:minorTickMark val="none"/>
        <c:tickLblPos val="nextTo"/>
        <c:crossAx val="71109248"/>
        <c:crosses val="autoZero"/>
        <c:auto val="1"/>
        <c:lblAlgn val="ctr"/>
        <c:lblOffset val="100"/>
        <c:noMultiLvlLbl val="0"/>
      </c:catAx>
      <c:valAx>
        <c:axId val="71109248"/>
        <c:scaling>
          <c:orientation val="minMax"/>
        </c:scaling>
        <c:delete val="0"/>
        <c:axPos val="l"/>
        <c:majorGridlines/>
        <c:title>
          <c:tx>
            <c:rich>
              <a:bodyPr rot="-5400000" vert="horz"/>
              <a:lstStyle/>
              <a:p>
                <a:pPr>
                  <a:defRPr/>
                </a:pPr>
                <a:r>
                  <a:rPr lang="en-US"/>
                  <a:t>Winter direct rainfall volume (m3) </a:t>
                </a:r>
              </a:p>
            </c:rich>
          </c:tx>
          <c:layout/>
          <c:overlay val="0"/>
        </c:title>
        <c:numFmt formatCode="#,##0" sourceLinked="0"/>
        <c:majorTickMark val="out"/>
        <c:minorTickMark val="none"/>
        <c:tickLblPos val="nextTo"/>
        <c:crossAx val="71107712"/>
        <c:crosses val="autoZero"/>
        <c:crossBetween val="between"/>
      </c:valAx>
      <c:valAx>
        <c:axId val="71152384"/>
        <c:scaling>
          <c:orientation val="minMax"/>
        </c:scaling>
        <c:delete val="0"/>
        <c:axPos val="r"/>
        <c:title>
          <c:tx>
            <c:rich>
              <a:bodyPr rot="-5400000" vert="horz"/>
              <a:lstStyle/>
              <a:p>
                <a:pPr>
                  <a:defRPr/>
                </a:pPr>
                <a:r>
                  <a:rPr lang="en-US"/>
                  <a:t>Storage as percentage of direct rainfall volume (%)</a:t>
                </a:r>
              </a:p>
            </c:rich>
          </c:tx>
          <c:layout/>
          <c:overlay val="0"/>
        </c:title>
        <c:numFmt formatCode="0" sourceLinked="1"/>
        <c:majorTickMark val="out"/>
        <c:minorTickMark val="none"/>
        <c:tickLblPos val="nextTo"/>
        <c:crossAx val="71154304"/>
        <c:crosses val="max"/>
        <c:crossBetween val="between"/>
      </c:valAx>
      <c:catAx>
        <c:axId val="71154304"/>
        <c:scaling>
          <c:orientation val="minMax"/>
        </c:scaling>
        <c:delete val="1"/>
        <c:axPos val="b"/>
        <c:majorTickMark val="out"/>
        <c:minorTickMark val="none"/>
        <c:tickLblPos val="none"/>
        <c:crossAx val="71152384"/>
        <c:crosses val="autoZero"/>
        <c:auto val="1"/>
        <c:lblAlgn val="ctr"/>
        <c:lblOffset val="100"/>
        <c:noMultiLvlLbl val="0"/>
      </c:catAx>
    </c:plotArea>
    <c:legend>
      <c:legendPos val="t"/>
      <c:legendEntry>
        <c:idx val="1"/>
        <c:delete val="1"/>
      </c:legendEntry>
      <c:legendEntry>
        <c:idx val="2"/>
        <c:delete val="1"/>
      </c:legendEntry>
      <c:legendEntry>
        <c:idx val="3"/>
        <c:delete val="1"/>
      </c:legendEntry>
      <c:legendEntry>
        <c:idx val="4"/>
        <c:delete val="1"/>
      </c:legendEntry>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30739833292786"/>
          <c:y val="0.24673118657561519"/>
          <c:w val="0.87168147330752488"/>
          <c:h val="0.67547152252395648"/>
        </c:manualLayout>
      </c:layout>
      <c:barChart>
        <c:barDir val="col"/>
        <c:grouping val="clustered"/>
        <c:varyColors val="0"/>
        <c:ser>
          <c:idx val="15"/>
          <c:order val="0"/>
          <c:tx>
            <c:strRef>
              <c:f>'Sensitivity Analysis'!$Q$51:$Q$54</c:f>
              <c:strCache>
                <c:ptCount val="1"/>
                <c:pt idx="0">
                  <c:v>Dist. 5 Sy 0.15 Available storage with RWLA (m³)</c:v>
                </c:pt>
              </c:strCache>
            </c:strRef>
          </c:tx>
          <c:invertIfNegative val="0"/>
          <c:cat>
            <c:strRef>
              <c:f>'Sensitivity Analysis'!$A$55:$A$64</c:f>
              <c:strCache>
                <c:ptCount val="10"/>
                <c:pt idx="0">
                  <c:v>Allermoor</c:v>
                </c:pt>
                <c:pt idx="1">
                  <c:v>Brue Valley North</c:v>
                </c:pt>
                <c:pt idx="2">
                  <c:v>Brue Valley South</c:v>
                </c:pt>
                <c:pt idx="3">
                  <c:v>Curry Moor</c:v>
                </c:pt>
                <c:pt idx="4">
                  <c:v>Kings Sedgemoor</c:v>
                </c:pt>
                <c:pt idx="5">
                  <c:v>North Moor</c:v>
                </c:pt>
                <c:pt idx="6">
                  <c:v>Southlake</c:v>
                </c:pt>
                <c:pt idx="7">
                  <c:v>West Moor</c:v>
                </c:pt>
                <c:pt idx="8">
                  <c:v>West Sedgemoor</c:v>
                </c:pt>
                <c:pt idx="9">
                  <c:v>Wet Moor</c:v>
                </c:pt>
              </c:strCache>
            </c:strRef>
          </c:cat>
          <c:val>
            <c:numRef>
              <c:f>'Sensitivity Analysis'!$Q$55:$Q$64</c:f>
              <c:numCache>
                <c:formatCode>0</c:formatCode>
                <c:ptCount val="10"/>
                <c:pt idx="0">
                  <c:v>316965</c:v>
                </c:pt>
                <c:pt idx="1">
                  <c:v>937845</c:v>
                </c:pt>
                <c:pt idx="2">
                  <c:v>1213710</c:v>
                </c:pt>
                <c:pt idx="3">
                  <c:v>285150</c:v>
                </c:pt>
                <c:pt idx="4">
                  <c:v>1281165</c:v>
                </c:pt>
                <c:pt idx="5">
                  <c:v>515040</c:v>
                </c:pt>
                <c:pt idx="6">
                  <c:v>15930</c:v>
                </c:pt>
                <c:pt idx="7">
                  <c:v>146025</c:v>
                </c:pt>
                <c:pt idx="8">
                  <c:v>388350</c:v>
                </c:pt>
                <c:pt idx="9">
                  <c:v>285960</c:v>
                </c:pt>
              </c:numCache>
            </c:numRef>
          </c:val>
        </c:ser>
        <c:ser>
          <c:idx val="16"/>
          <c:order val="1"/>
          <c:tx>
            <c:strRef>
              <c:f>'Sensitivity Analysis'!$R$51:$R$54</c:f>
              <c:strCache>
                <c:ptCount val="1"/>
                <c:pt idx="0">
                  <c:v>Dist. 5 Sy 0.15 Available storage without RWLA (m³)</c:v>
                </c:pt>
              </c:strCache>
            </c:strRef>
          </c:tx>
          <c:invertIfNegative val="0"/>
          <c:cat>
            <c:strRef>
              <c:f>'Sensitivity Analysis'!$A$55:$A$64</c:f>
              <c:strCache>
                <c:ptCount val="10"/>
                <c:pt idx="0">
                  <c:v>Allermoor</c:v>
                </c:pt>
                <c:pt idx="1">
                  <c:v>Brue Valley North</c:v>
                </c:pt>
                <c:pt idx="2">
                  <c:v>Brue Valley South</c:v>
                </c:pt>
                <c:pt idx="3">
                  <c:v>Curry Moor</c:v>
                </c:pt>
                <c:pt idx="4">
                  <c:v>Kings Sedgemoor</c:v>
                </c:pt>
                <c:pt idx="5">
                  <c:v>North Moor</c:v>
                </c:pt>
                <c:pt idx="6">
                  <c:v>Southlake</c:v>
                </c:pt>
                <c:pt idx="7">
                  <c:v>West Moor</c:v>
                </c:pt>
                <c:pt idx="8">
                  <c:v>West Sedgemoor</c:v>
                </c:pt>
                <c:pt idx="9">
                  <c:v>Wet Moor</c:v>
                </c:pt>
              </c:strCache>
            </c:strRef>
          </c:cat>
          <c:val>
            <c:numRef>
              <c:f>'Sensitivity Analysis'!$R$55:$R$64</c:f>
              <c:numCache>
                <c:formatCode>0</c:formatCode>
                <c:ptCount val="10"/>
                <c:pt idx="0">
                  <c:v>321690</c:v>
                </c:pt>
                <c:pt idx="1">
                  <c:v>983775</c:v>
                </c:pt>
                <c:pt idx="2">
                  <c:v>1281465</c:v>
                </c:pt>
                <c:pt idx="3">
                  <c:v>286725</c:v>
                </c:pt>
                <c:pt idx="4">
                  <c:v>1416450</c:v>
                </c:pt>
                <c:pt idx="5">
                  <c:v>554849.99999999872</c:v>
                </c:pt>
                <c:pt idx="6">
                  <c:v>86924.999999999971</c:v>
                </c:pt>
                <c:pt idx="7">
                  <c:v>173895</c:v>
                </c:pt>
                <c:pt idx="8">
                  <c:v>504525</c:v>
                </c:pt>
                <c:pt idx="9">
                  <c:v>388575</c:v>
                </c:pt>
              </c:numCache>
            </c:numRef>
          </c:val>
        </c:ser>
        <c:ser>
          <c:idx val="3"/>
          <c:order val="2"/>
          <c:tx>
            <c:strRef>
              <c:f>'Sensitivity Analysis'!$E$51:$E$54</c:f>
              <c:strCache>
                <c:ptCount val="1"/>
                <c:pt idx="0">
                  <c:v>Dist. 5 Sy 0.2 Available storage with RWLA (m³)</c:v>
                </c:pt>
              </c:strCache>
            </c:strRef>
          </c:tx>
          <c:invertIfNegative val="0"/>
          <c:cat>
            <c:strRef>
              <c:f>'Sensitivity Analysis'!$A$55:$A$64</c:f>
              <c:strCache>
                <c:ptCount val="10"/>
                <c:pt idx="0">
                  <c:v>Allermoor</c:v>
                </c:pt>
                <c:pt idx="1">
                  <c:v>Brue Valley North</c:v>
                </c:pt>
                <c:pt idx="2">
                  <c:v>Brue Valley South</c:v>
                </c:pt>
                <c:pt idx="3">
                  <c:v>Curry Moor</c:v>
                </c:pt>
                <c:pt idx="4">
                  <c:v>Kings Sedgemoor</c:v>
                </c:pt>
                <c:pt idx="5">
                  <c:v>North Moor</c:v>
                </c:pt>
                <c:pt idx="6">
                  <c:v>Southlake</c:v>
                </c:pt>
                <c:pt idx="7">
                  <c:v>West Moor</c:v>
                </c:pt>
                <c:pt idx="8">
                  <c:v>West Sedgemoor</c:v>
                </c:pt>
                <c:pt idx="9">
                  <c:v>Wet Moor</c:v>
                </c:pt>
              </c:strCache>
            </c:strRef>
          </c:cat>
          <c:val>
            <c:numRef>
              <c:f>'Sensitivity Analysis'!$E$55:$E$64</c:f>
              <c:numCache>
                <c:formatCode>0</c:formatCode>
                <c:ptCount val="10"/>
                <c:pt idx="0">
                  <c:v>334860</c:v>
                </c:pt>
                <c:pt idx="1">
                  <c:v>994380</c:v>
                </c:pt>
                <c:pt idx="2">
                  <c:v>1290150</c:v>
                </c:pt>
                <c:pt idx="3">
                  <c:v>301200</c:v>
                </c:pt>
                <c:pt idx="4">
                  <c:v>1358610</c:v>
                </c:pt>
                <c:pt idx="5">
                  <c:v>547650</c:v>
                </c:pt>
                <c:pt idx="6">
                  <c:v>16709.999999999982</c:v>
                </c:pt>
                <c:pt idx="7">
                  <c:v>154410</c:v>
                </c:pt>
                <c:pt idx="8">
                  <c:v>412620</c:v>
                </c:pt>
                <c:pt idx="9">
                  <c:v>301560</c:v>
                </c:pt>
              </c:numCache>
            </c:numRef>
          </c:val>
        </c:ser>
        <c:ser>
          <c:idx val="4"/>
          <c:order val="3"/>
          <c:tx>
            <c:strRef>
              <c:f>'Sensitivity Analysis'!$F$51:$F$54</c:f>
              <c:strCache>
                <c:ptCount val="1"/>
                <c:pt idx="0">
                  <c:v>Dist. 5 Sy 0.2 Available storage without RWLA (m³)</c:v>
                </c:pt>
              </c:strCache>
            </c:strRef>
          </c:tx>
          <c:invertIfNegative val="0"/>
          <c:cat>
            <c:strRef>
              <c:f>'Sensitivity Analysis'!$A$55:$A$64</c:f>
              <c:strCache>
                <c:ptCount val="10"/>
                <c:pt idx="0">
                  <c:v>Allermoor</c:v>
                </c:pt>
                <c:pt idx="1">
                  <c:v>Brue Valley North</c:v>
                </c:pt>
                <c:pt idx="2">
                  <c:v>Brue Valley South</c:v>
                </c:pt>
                <c:pt idx="3">
                  <c:v>Curry Moor</c:v>
                </c:pt>
                <c:pt idx="4">
                  <c:v>Kings Sedgemoor</c:v>
                </c:pt>
                <c:pt idx="5">
                  <c:v>North Moor</c:v>
                </c:pt>
                <c:pt idx="6">
                  <c:v>Southlake</c:v>
                </c:pt>
                <c:pt idx="7">
                  <c:v>West Moor</c:v>
                </c:pt>
                <c:pt idx="8">
                  <c:v>West Sedgemoor</c:v>
                </c:pt>
                <c:pt idx="9">
                  <c:v>Wet Moor</c:v>
                </c:pt>
              </c:strCache>
            </c:strRef>
          </c:cat>
          <c:val>
            <c:numRef>
              <c:f>'Sensitivity Analysis'!$F$55:$F$64</c:f>
              <c:numCache>
                <c:formatCode>0</c:formatCode>
                <c:ptCount val="10"/>
                <c:pt idx="0">
                  <c:v>339900</c:v>
                </c:pt>
                <c:pt idx="1">
                  <c:v>1043280</c:v>
                </c:pt>
                <c:pt idx="2">
                  <c:v>1362390</c:v>
                </c:pt>
                <c:pt idx="3">
                  <c:v>302880</c:v>
                </c:pt>
                <c:pt idx="4">
                  <c:v>1502760</c:v>
                </c:pt>
                <c:pt idx="5">
                  <c:v>590070</c:v>
                </c:pt>
                <c:pt idx="6">
                  <c:v>91979.999999999971</c:v>
                </c:pt>
                <c:pt idx="7">
                  <c:v>184110</c:v>
                </c:pt>
                <c:pt idx="8">
                  <c:v>536490</c:v>
                </c:pt>
                <c:pt idx="9">
                  <c:v>410730</c:v>
                </c:pt>
              </c:numCache>
            </c:numRef>
          </c:val>
        </c:ser>
        <c:ser>
          <c:idx val="9"/>
          <c:order val="4"/>
          <c:tx>
            <c:strRef>
              <c:f>'Sensitivity Analysis'!$K$51:$K$54</c:f>
              <c:strCache>
                <c:ptCount val="1"/>
                <c:pt idx="0">
                  <c:v>Dist. 9 Sy 0.15 Available storage with RWLA (m³)</c:v>
                </c:pt>
              </c:strCache>
            </c:strRef>
          </c:tx>
          <c:invertIfNegative val="0"/>
          <c:cat>
            <c:strRef>
              <c:f>'Sensitivity Analysis'!$A$55:$A$64</c:f>
              <c:strCache>
                <c:ptCount val="10"/>
                <c:pt idx="0">
                  <c:v>Allermoor</c:v>
                </c:pt>
                <c:pt idx="1">
                  <c:v>Brue Valley North</c:v>
                </c:pt>
                <c:pt idx="2">
                  <c:v>Brue Valley South</c:v>
                </c:pt>
                <c:pt idx="3">
                  <c:v>Curry Moor</c:v>
                </c:pt>
                <c:pt idx="4">
                  <c:v>Kings Sedgemoor</c:v>
                </c:pt>
                <c:pt idx="5">
                  <c:v>North Moor</c:v>
                </c:pt>
                <c:pt idx="6">
                  <c:v>Southlake</c:v>
                </c:pt>
                <c:pt idx="7">
                  <c:v>West Moor</c:v>
                </c:pt>
                <c:pt idx="8">
                  <c:v>West Sedgemoor</c:v>
                </c:pt>
                <c:pt idx="9">
                  <c:v>Wet Moor</c:v>
                </c:pt>
              </c:strCache>
            </c:strRef>
          </c:cat>
          <c:val>
            <c:numRef>
              <c:f>'Sensitivity Analysis'!$K$55:$K$64</c:f>
              <c:numCache>
                <c:formatCode>0</c:formatCode>
                <c:ptCount val="10"/>
                <c:pt idx="0">
                  <c:v>359913</c:v>
                </c:pt>
                <c:pt idx="1">
                  <c:v>1073529</c:v>
                </c:pt>
                <c:pt idx="2">
                  <c:v>1397166</c:v>
                </c:pt>
                <c:pt idx="3">
                  <c:v>323670</c:v>
                </c:pt>
                <c:pt idx="4">
                  <c:v>1467033</c:v>
                </c:pt>
                <c:pt idx="5">
                  <c:v>593304</c:v>
                </c:pt>
                <c:pt idx="6">
                  <c:v>17801.999999999982</c:v>
                </c:pt>
                <c:pt idx="7">
                  <c:v>166149</c:v>
                </c:pt>
                <c:pt idx="8">
                  <c:v>446598</c:v>
                </c:pt>
                <c:pt idx="9">
                  <c:v>323400</c:v>
                </c:pt>
              </c:numCache>
            </c:numRef>
          </c:val>
        </c:ser>
        <c:ser>
          <c:idx val="10"/>
          <c:order val="5"/>
          <c:tx>
            <c:strRef>
              <c:f>'Sensitivity Analysis'!$L$51:$L$54</c:f>
              <c:strCache>
                <c:ptCount val="1"/>
                <c:pt idx="0">
                  <c:v>Dist. 9 Sy 0.15 Available storage without RWLA (m³)</c:v>
                </c:pt>
              </c:strCache>
            </c:strRef>
          </c:tx>
          <c:invertIfNegative val="0"/>
          <c:cat>
            <c:strRef>
              <c:f>'Sensitivity Analysis'!$A$55:$A$64</c:f>
              <c:strCache>
                <c:ptCount val="10"/>
                <c:pt idx="0">
                  <c:v>Allermoor</c:v>
                </c:pt>
                <c:pt idx="1">
                  <c:v>Brue Valley North</c:v>
                </c:pt>
                <c:pt idx="2">
                  <c:v>Brue Valley South</c:v>
                </c:pt>
                <c:pt idx="3">
                  <c:v>Curry Moor</c:v>
                </c:pt>
                <c:pt idx="4">
                  <c:v>Kings Sedgemoor</c:v>
                </c:pt>
                <c:pt idx="5">
                  <c:v>North Moor</c:v>
                </c:pt>
                <c:pt idx="6">
                  <c:v>Southlake</c:v>
                </c:pt>
                <c:pt idx="7">
                  <c:v>West Moor</c:v>
                </c:pt>
                <c:pt idx="8">
                  <c:v>West Sedgemoor</c:v>
                </c:pt>
                <c:pt idx="9">
                  <c:v>Wet Moor</c:v>
                </c:pt>
              </c:strCache>
            </c:strRef>
          </c:cat>
          <c:val>
            <c:numRef>
              <c:f>'Sensitivity Analysis'!$L$55:$L$64</c:f>
              <c:numCache>
                <c:formatCode>0</c:formatCode>
                <c:ptCount val="10"/>
                <c:pt idx="0">
                  <c:v>365394</c:v>
                </c:pt>
                <c:pt idx="1">
                  <c:v>1126587</c:v>
                </c:pt>
                <c:pt idx="2">
                  <c:v>1475685</c:v>
                </c:pt>
                <c:pt idx="3">
                  <c:v>325497</c:v>
                </c:pt>
                <c:pt idx="4">
                  <c:v>1623594</c:v>
                </c:pt>
                <c:pt idx="5">
                  <c:v>639378</c:v>
                </c:pt>
                <c:pt idx="6">
                  <c:v>99056.999999999971</c:v>
                </c:pt>
                <c:pt idx="7">
                  <c:v>198411</c:v>
                </c:pt>
                <c:pt idx="8">
                  <c:v>581241</c:v>
                </c:pt>
                <c:pt idx="9">
                  <c:v>441747</c:v>
                </c:pt>
              </c:numCache>
            </c:numRef>
          </c:val>
        </c:ser>
        <c:ser>
          <c:idx val="0"/>
          <c:order val="6"/>
          <c:tx>
            <c:strRef>
              <c:f>'Sensitivity Analysis'!$B$51:$B$54</c:f>
              <c:strCache>
                <c:ptCount val="1"/>
                <c:pt idx="0">
                  <c:v>Dist. 9 Sy 0.2 Available storage with RWLA (m³)</c:v>
                </c:pt>
              </c:strCache>
            </c:strRef>
          </c:tx>
          <c:invertIfNegative val="0"/>
          <c:cat>
            <c:strRef>
              <c:f>'Sensitivity Analysis'!$A$55:$A$64</c:f>
              <c:strCache>
                <c:ptCount val="10"/>
                <c:pt idx="0">
                  <c:v>Allermoor</c:v>
                </c:pt>
                <c:pt idx="1">
                  <c:v>Brue Valley North</c:v>
                </c:pt>
                <c:pt idx="2">
                  <c:v>Brue Valley South</c:v>
                </c:pt>
                <c:pt idx="3">
                  <c:v>Curry Moor</c:v>
                </c:pt>
                <c:pt idx="4">
                  <c:v>Kings Sedgemoor</c:v>
                </c:pt>
                <c:pt idx="5">
                  <c:v>North Moor</c:v>
                </c:pt>
                <c:pt idx="6">
                  <c:v>Southlake</c:v>
                </c:pt>
                <c:pt idx="7">
                  <c:v>West Moor</c:v>
                </c:pt>
                <c:pt idx="8">
                  <c:v>West Sedgemoor</c:v>
                </c:pt>
                <c:pt idx="9">
                  <c:v>Wet Moor</c:v>
                </c:pt>
              </c:strCache>
            </c:strRef>
          </c:cat>
          <c:val>
            <c:numRef>
              <c:f>'Sensitivity Analysis'!$B$55:$B$64</c:f>
              <c:numCache>
                <c:formatCode>0</c:formatCode>
                <c:ptCount val="10"/>
                <c:pt idx="0">
                  <c:v>392124</c:v>
                </c:pt>
                <c:pt idx="1">
                  <c:v>1175292</c:v>
                </c:pt>
                <c:pt idx="2">
                  <c:v>1534758</c:v>
                </c:pt>
                <c:pt idx="3">
                  <c:v>352560</c:v>
                </c:pt>
                <c:pt idx="4">
                  <c:v>1606434</c:v>
                </c:pt>
                <c:pt idx="5">
                  <c:v>652001.99999999872</c:v>
                </c:pt>
                <c:pt idx="6">
                  <c:v>19205.999999999982</c:v>
                </c:pt>
                <c:pt idx="7">
                  <c:v>181242</c:v>
                </c:pt>
                <c:pt idx="8">
                  <c:v>490284</c:v>
                </c:pt>
                <c:pt idx="9">
                  <c:v>351480</c:v>
                </c:pt>
              </c:numCache>
            </c:numRef>
          </c:val>
        </c:ser>
        <c:ser>
          <c:idx val="1"/>
          <c:order val="7"/>
          <c:tx>
            <c:strRef>
              <c:f>'Sensitivity Analysis'!$C$51:$C$54</c:f>
              <c:strCache>
                <c:ptCount val="1"/>
                <c:pt idx="0">
                  <c:v>Dist. 9 Sy 0.2 Available storage without RWLA (m³)</c:v>
                </c:pt>
              </c:strCache>
            </c:strRef>
          </c:tx>
          <c:invertIfNegative val="0"/>
          <c:cat>
            <c:strRef>
              <c:f>'Sensitivity Analysis'!$A$55:$A$64</c:f>
              <c:strCache>
                <c:ptCount val="10"/>
                <c:pt idx="0">
                  <c:v>Allermoor</c:v>
                </c:pt>
                <c:pt idx="1">
                  <c:v>Brue Valley North</c:v>
                </c:pt>
                <c:pt idx="2">
                  <c:v>Brue Valley South</c:v>
                </c:pt>
                <c:pt idx="3">
                  <c:v>Curry Moor</c:v>
                </c:pt>
                <c:pt idx="4">
                  <c:v>Kings Sedgemoor</c:v>
                </c:pt>
                <c:pt idx="5">
                  <c:v>North Moor</c:v>
                </c:pt>
                <c:pt idx="6">
                  <c:v>Southlake</c:v>
                </c:pt>
                <c:pt idx="7">
                  <c:v>West Moor</c:v>
                </c:pt>
                <c:pt idx="8">
                  <c:v>West Sedgemoor</c:v>
                </c:pt>
                <c:pt idx="9">
                  <c:v>Wet Moor</c:v>
                </c:pt>
              </c:strCache>
            </c:strRef>
          </c:cat>
          <c:val>
            <c:numRef>
              <c:f>'Sensitivity Analysis'!$C$55:$C$64</c:f>
              <c:numCache>
                <c:formatCode>0</c:formatCode>
                <c:ptCount val="10"/>
                <c:pt idx="0">
                  <c:v>398172</c:v>
                </c:pt>
                <c:pt idx="1">
                  <c:v>1233696</c:v>
                </c:pt>
                <c:pt idx="2">
                  <c:v>1621350</c:v>
                </c:pt>
                <c:pt idx="3">
                  <c:v>354576</c:v>
                </c:pt>
                <c:pt idx="4">
                  <c:v>1778952</c:v>
                </c:pt>
                <c:pt idx="5">
                  <c:v>702773.99999999872</c:v>
                </c:pt>
                <c:pt idx="6">
                  <c:v>108155.99999999997</c:v>
                </c:pt>
                <c:pt idx="7">
                  <c:v>216798</c:v>
                </c:pt>
                <c:pt idx="8">
                  <c:v>638778</c:v>
                </c:pt>
                <c:pt idx="9">
                  <c:v>481626</c:v>
                </c:pt>
              </c:numCache>
            </c:numRef>
          </c:val>
        </c:ser>
        <c:ser>
          <c:idx val="12"/>
          <c:order val="8"/>
          <c:tx>
            <c:strRef>
              <c:f>'Sensitivity Analysis'!$N$51:$N$54</c:f>
              <c:strCache>
                <c:ptCount val="1"/>
                <c:pt idx="0">
                  <c:v>Dist. 9 Sy 0.25 Available storage with RWLA (m³)</c:v>
                </c:pt>
              </c:strCache>
            </c:strRef>
          </c:tx>
          <c:invertIfNegative val="0"/>
          <c:cat>
            <c:strRef>
              <c:f>'Sensitivity Analysis'!$A$55:$A$64</c:f>
              <c:strCache>
                <c:ptCount val="10"/>
                <c:pt idx="0">
                  <c:v>Allermoor</c:v>
                </c:pt>
                <c:pt idx="1">
                  <c:v>Brue Valley North</c:v>
                </c:pt>
                <c:pt idx="2">
                  <c:v>Brue Valley South</c:v>
                </c:pt>
                <c:pt idx="3">
                  <c:v>Curry Moor</c:v>
                </c:pt>
                <c:pt idx="4">
                  <c:v>Kings Sedgemoor</c:v>
                </c:pt>
                <c:pt idx="5">
                  <c:v>North Moor</c:v>
                </c:pt>
                <c:pt idx="6">
                  <c:v>Southlake</c:v>
                </c:pt>
                <c:pt idx="7">
                  <c:v>West Moor</c:v>
                </c:pt>
                <c:pt idx="8">
                  <c:v>West Sedgemoor</c:v>
                </c:pt>
                <c:pt idx="9">
                  <c:v>Wet Moor</c:v>
                </c:pt>
              </c:strCache>
            </c:strRef>
          </c:cat>
          <c:val>
            <c:numRef>
              <c:f>'Sensitivity Analysis'!$N$55:$N$64</c:f>
              <c:numCache>
                <c:formatCode>0</c:formatCode>
                <c:ptCount val="10"/>
                <c:pt idx="0">
                  <c:v>424335</c:v>
                </c:pt>
                <c:pt idx="1">
                  <c:v>1277055</c:v>
                </c:pt>
                <c:pt idx="2">
                  <c:v>1672350</c:v>
                </c:pt>
                <c:pt idx="3">
                  <c:v>381450</c:v>
                </c:pt>
                <c:pt idx="4">
                  <c:v>1745835</c:v>
                </c:pt>
                <c:pt idx="5">
                  <c:v>710699.99999999872</c:v>
                </c:pt>
                <c:pt idx="6">
                  <c:v>20609.999999999982</c:v>
                </c:pt>
                <c:pt idx="7">
                  <c:v>196335</c:v>
                </c:pt>
                <c:pt idx="8">
                  <c:v>533970</c:v>
                </c:pt>
                <c:pt idx="9">
                  <c:v>379560</c:v>
                </c:pt>
              </c:numCache>
            </c:numRef>
          </c:val>
        </c:ser>
        <c:ser>
          <c:idx val="13"/>
          <c:order val="9"/>
          <c:tx>
            <c:strRef>
              <c:f>'Sensitivity Analysis'!$O$51:$O$54</c:f>
              <c:strCache>
                <c:ptCount val="1"/>
                <c:pt idx="0">
                  <c:v>Dist. 9 Sy 0.25 Available storage without RWLA (m³)</c:v>
                </c:pt>
              </c:strCache>
            </c:strRef>
          </c:tx>
          <c:invertIfNegative val="0"/>
          <c:cat>
            <c:strRef>
              <c:f>'Sensitivity Analysis'!$A$55:$A$64</c:f>
              <c:strCache>
                <c:ptCount val="10"/>
                <c:pt idx="0">
                  <c:v>Allermoor</c:v>
                </c:pt>
                <c:pt idx="1">
                  <c:v>Brue Valley North</c:v>
                </c:pt>
                <c:pt idx="2">
                  <c:v>Brue Valley South</c:v>
                </c:pt>
                <c:pt idx="3">
                  <c:v>Curry Moor</c:v>
                </c:pt>
                <c:pt idx="4">
                  <c:v>Kings Sedgemoor</c:v>
                </c:pt>
                <c:pt idx="5">
                  <c:v>North Moor</c:v>
                </c:pt>
                <c:pt idx="6">
                  <c:v>Southlake</c:v>
                </c:pt>
                <c:pt idx="7">
                  <c:v>West Moor</c:v>
                </c:pt>
                <c:pt idx="8">
                  <c:v>West Sedgemoor</c:v>
                </c:pt>
                <c:pt idx="9">
                  <c:v>Wet Moor</c:v>
                </c:pt>
              </c:strCache>
            </c:strRef>
          </c:cat>
          <c:val>
            <c:numRef>
              <c:f>'Sensitivity Analysis'!$O$55:$O$64</c:f>
              <c:numCache>
                <c:formatCode>0</c:formatCode>
                <c:ptCount val="10"/>
                <c:pt idx="0">
                  <c:v>430950</c:v>
                </c:pt>
                <c:pt idx="1">
                  <c:v>1340805</c:v>
                </c:pt>
                <c:pt idx="2">
                  <c:v>1767015</c:v>
                </c:pt>
                <c:pt idx="3">
                  <c:v>383655</c:v>
                </c:pt>
                <c:pt idx="4">
                  <c:v>1934310</c:v>
                </c:pt>
                <c:pt idx="5">
                  <c:v>766169.99999999872</c:v>
                </c:pt>
                <c:pt idx="6">
                  <c:v>117254.99999999997</c:v>
                </c:pt>
                <c:pt idx="7">
                  <c:v>235185</c:v>
                </c:pt>
                <c:pt idx="8">
                  <c:v>696315</c:v>
                </c:pt>
                <c:pt idx="9">
                  <c:v>521505</c:v>
                </c:pt>
              </c:numCache>
            </c:numRef>
          </c:val>
        </c:ser>
        <c:ser>
          <c:idx val="6"/>
          <c:order val="10"/>
          <c:tx>
            <c:strRef>
              <c:f>'Sensitivity Analysis'!$H$51:$H$54</c:f>
              <c:strCache>
                <c:ptCount val="1"/>
                <c:pt idx="0">
                  <c:v>Dist. 30 Sy 0.2 Available storage with RWLA (m³)</c:v>
                </c:pt>
              </c:strCache>
            </c:strRef>
          </c:tx>
          <c:invertIfNegative val="0"/>
          <c:cat>
            <c:strRef>
              <c:f>'Sensitivity Analysis'!$A$55:$A$64</c:f>
              <c:strCache>
                <c:ptCount val="10"/>
                <c:pt idx="0">
                  <c:v>Allermoor</c:v>
                </c:pt>
                <c:pt idx="1">
                  <c:v>Brue Valley North</c:v>
                </c:pt>
                <c:pt idx="2">
                  <c:v>Brue Valley South</c:v>
                </c:pt>
                <c:pt idx="3">
                  <c:v>Curry Moor</c:v>
                </c:pt>
                <c:pt idx="4">
                  <c:v>Kings Sedgemoor</c:v>
                </c:pt>
                <c:pt idx="5">
                  <c:v>North Moor</c:v>
                </c:pt>
                <c:pt idx="6">
                  <c:v>Southlake</c:v>
                </c:pt>
                <c:pt idx="7">
                  <c:v>West Moor</c:v>
                </c:pt>
                <c:pt idx="8">
                  <c:v>West Sedgemoor</c:v>
                </c:pt>
                <c:pt idx="9">
                  <c:v>Wet Moor</c:v>
                </c:pt>
              </c:strCache>
            </c:strRef>
          </c:cat>
          <c:val>
            <c:numRef>
              <c:f>'Sensitivity Analysis'!$H$55:$H$64</c:f>
              <c:numCache>
                <c:formatCode>0</c:formatCode>
                <c:ptCount val="10"/>
                <c:pt idx="0">
                  <c:v>692760</c:v>
                </c:pt>
                <c:pt idx="1">
                  <c:v>2125080</c:v>
                </c:pt>
                <c:pt idx="2">
                  <c:v>2818950</c:v>
                </c:pt>
                <c:pt idx="3">
                  <c:v>622200</c:v>
                </c:pt>
                <c:pt idx="4">
                  <c:v>2907510</c:v>
                </c:pt>
                <c:pt idx="5">
                  <c:v>1199850</c:v>
                </c:pt>
                <c:pt idx="6">
                  <c:v>32310</c:v>
                </c:pt>
                <c:pt idx="7">
                  <c:v>322110</c:v>
                </c:pt>
                <c:pt idx="8">
                  <c:v>898020</c:v>
                </c:pt>
                <c:pt idx="9">
                  <c:v>613560</c:v>
                </c:pt>
              </c:numCache>
            </c:numRef>
          </c:val>
        </c:ser>
        <c:ser>
          <c:idx val="7"/>
          <c:order val="11"/>
          <c:tx>
            <c:strRef>
              <c:f>'Sensitivity Analysis'!$I$51:$I$54</c:f>
              <c:strCache>
                <c:ptCount val="1"/>
                <c:pt idx="0">
                  <c:v>Dist. 30 Sy 0.2 Available storage without RWLA (m³)</c:v>
                </c:pt>
              </c:strCache>
            </c:strRef>
          </c:tx>
          <c:invertIfNegative val="0"/>
          <c:cat>
            <c:strRef>
              <c:f>'Sensitivity Analysis'!$A$55:$A$64</c:f>
              <c:strCache>
                <c:ptCount val="10"/>
                <c:pt idx="0">
                  <c:v>Allermoor</c:v>
                </c:pt>
                <c:pt idx="1">
                  <c:v>Brue Valley North</c:v>
                </c:pt>
                <c:pt idx="2">
                  <c:v>Brue Valley South</c:v>
                </c:pt>
                <c:pt idx="3">
                  <c:v>Curry Moor</c:v>
                </c:pt>
                <c:pt idx="4">
                  <c:v>Kings Sedgemoor</c:v>
                </c:pt>
                <c:pt idx="5">
                  <c:v>North Moor</c:v>
                </c:pt>
                <c:pt idx="6">
                  <c:v>Southlake</c:v>
                </c:pt>
                <c:pt idx="7">
                  <c:v>West Moor</c:v>
                </c:pt>
                <c:pt idx="8">
                  <c:v>West Sedgemoor</c:v>
                </c:pt>
                <c:pt idx="9">
                  <c:v>Wet Moor</c:v>
                </c:pt>
              </c:strCache>
            </c:strRef>
          </c:cat>
          <c:val>
            <c:numRef>
              <c:f>'Sensitivity Analysis'!$I$55:$I$64</c:f>
              <c:numCache>
                <c:formatCode>0</c:formatCode>
                <c:ptCount val="10"/>
                <c:pt idx="0">
                  <c:v>704100</c:v>
                </c:pt>
                <c:pt idx="1">
                  <c:v>2233380</c:v>
                </c:pt>
                <c:pt idx="2">
                  <c:v>2980890</c:v>
                </c:pt>
                <c:pt idx="3">
                  <c:v>625980</c:v>
                </c:pt>
                <c:pt idx="4">
                  <c:v>3228960</c:v>
                </c:pt>
                <c:pt idx="5">
                  <c:v>1294470</c:v>
                </c:pt>
                <c:pt idx="6">
                  <c:v>193080</c:v>
                </c:pt>
                <c:pt idx="7">
                  <c:v>388410</c:v>
                </c:pt>
                <c:pt idx="8">
                  <c:v>1175790</c:v>
                </c:pt>
                <c:pt idx="9">
                  <c:v>853830</c:v>
                </c:pt>
              </c:numCache>
            </c:numRef>
          </c:val>
        </c:ser>
        <c:ser>
          <c:idx val="18"/>
          <c:order val="12"/>
          <c:tx>
            <c:strRef>
              <c:f>'Sensitivity Analysis'!$T$51:$T$54</c:f>
              <c:strCache>
                <c:ptCount val="1"/>
                <c:pt idx="0">
                  <c:v>Dist. 30 Sy 0.25 Available storage with RWLA (m³)</c:v>
                </c:pt>
              </c:strCache>
            </c:strRef>
          </c:tx>
          <c:invertIfNegative val="0"/>
          <c:cat>
            <c:strRef>
              <c:f>'Sensitivity Analysis'!$A$55:$A$64</c:f>
              <c:strCache>
                <c:ptCount val="10"/>
                <c:pt idx="0">
                  <c:v>Allermoor</c:v>
                </c:pt>
                <c:pt idx="1">
                  <c:v>Brue Valley North</c:v>
                </c:pt>
                <c:pt idx="2">
                  <c:v>Brue Valley South</c:v>
                </c:pt>
                <c:pt idx="3">
                  <c:v>Curry Moor</c:v>
                </c:pt>
                <c:pt idx="4">
                  <c:v>Kings Sedgemoor</c:v>
                </c:pt>
                <c:pt idx="5">
                  <c:v>North Moor</c:v>
                </c:pt>
                <c:pt idx="6">
                  <c:v>Southlake</c:v>
                </c:pt>
                <c:pt idx="7">
                  <c:v>West Moor</c:v>
                </c:pt>
                <c:pt idx="8">
                  <c:v>West Sedgemoor</c:v>
                </c:pt>
                <c:pt idx="9">
                  <c:v>Wet Moor</c:v>
                </c:pt>
              </c:strCache>
            </c:strRef>
          </c:cat>
          <c:val>
            <c:numRef>
              <c:f>'Sensitivity Analysis'!$T$55:$T$64</c:f>
              <c:numCache>
                <c:formatCode>0</c:formatCode>
                <c:ptCount val="10"/>
                <c:pt idx="0">
                  <c:v>800130</c:v>
                </c:pt>
                <c:pt idx="1">
                  <c:v>2464290</c:v>
                </c:pt>
                <c:pt idx="2">
                  <c:v>3277590</c:v>
                </c:pt>
                <c:pt idx="3">
                  <c:v>718500</c:v>
                </c:pt>
                <c:pt idx="4">
                  <c:v>3372180</c:v>
                </c:pt>
                <c:pt idx="5">
                  <c:v>1395510</c:v>
                </c:pt>
                <c:pt idx="6">
                  <c:v>36990</c:v>
                </c:pt>
                <c:pt idx="7">
                  <c:v>372420</c:v>
                </c:pt>
                <c:pt idx="8">
                  <c:v>1043640</c:v>
                </c:pt>
                <c:pt idx="9">
                  <c:v>707160</c:v>
                </c:pt>
              </c:numCache>
            </c:numRef>
          </c:val>
        </c:ser>
        <c:ser>
          <c:idx val="19"/>
          <c:order val="13"/>
          <c:tx>
            <c:strRef>
              <c:f>'Sensitivity Analysis'!$U$51:$U$54</c:f>
              <c:strCache>
                <c:ptCount val="1"/>
                <c:pt idx="0">
                  <c:v>Dist. 30 Sy 0.25 Available storage without RWLA (m³)</c:v>
                </c:pt>
              </c:strCache>
            </c:strRef>
          </c:tx>
          <c:invertIfNegative val="0"/>
          <c:cat>
            <c:strRef>
              <c:f>'Sensitivity Analysis'!$A$55:$A$64</c:f>
              <c:strCache>
                <c:ptCount val="10"/>
                <c:pt idx="0">
                  <c:v>Allermoor</c:v>
                </c:pt>
                <c:pt idx="1">
                  <c:v>Brue Valley North</c:v>
                </c:pt>
                <c:pt idx="2">
                  <c:v>Brue Valley South</c:v>
                </c:pt>
                <c:pt idx="3">
                  <c:v>Curry Moor</c:v>
                </c:pt>
                <c:pt idx="4">
                  <c:v>Kings Sedgemoor</c:v>
                </c:pt>
                <c:pt idx="5">
                  <c:v>North Moor</c:v>
                </c:pt>
                <c:pt idx="6">
                  <c:v>Southlake</c:v>
                </c:pt>
                <c:pt idx="7">
                  <c:v>West Moor</c:v>
                </c:pt>
                <c:pt idx="8">
                  <c:v>West Sedgemoor</c:v>
                </c:pt>
                <c:pt idx="9">
                  <c:v>Wet Moor</c:v>
                </c:pt>
              </c:strCache>
            </c:strRef>
          </c:cat>
          <c:val>
            <c:numRef>
              <c:f>'Sensitivity Analysis'!$U$55:$U$64</c:f>
              <c:numCache>
                <c:formatCode>0</c:formatCode>
                <c:ptCount val="10"/>
                <c:pt idx="0">
                  <c:v>813360</c:v>
                </c:pt>
                <c:pt idx="1">
                  <c:v>2590410</c:v>
                </c:pt>
                <c:pt idx="2">
                  <c:v>3466440</c:v>
                </c:pt>
                <c:pt idx="3">
                  <c:v>722910</c:v>
                </c:pt>
                <c:pt idx="4">
                  <c:v>3746820</c:v>
                </c:pt>
                <c:pt idx="5">
                  <c:v>1505790</c:v>
                </c:pt>
                <c:pt idx="6">
                  <c:v>223410</c:v>
                </c:pt>
                <c:pt idx="7">
                  <c:v>449700</c:v>
                </c:pt>
                <c:pt idx="8">
                  <c:v>1367580</c:v>
                </c:pt>
                <c:pt idx="9">
                  <c:v>986760</c:v>
                </c:pt>
              </c:numCache>
            </c:numRef>
          </c:val>
        </c:ser>
        <c:dLbls>
          <c:showLegendKey val="0"/>
          <c:showVal val="0"/>
          <c:showCatName val="0"/>
          <c:showSerName val="0"/>
          <c:showPercent val="0"/>
          <c:showBubbleSize val="0"/>
        </c:dLbls>
        <c:gapWidth val="150"/>
        <c:axId val="151472000"/>
        <c:axId val="151473536"/>
      </c:barChart>
      <c:catAx>
        <c:axId val="151472000"/>
        <c:scaling>
          <c:orientation val="minMax"/>
        </c:scaling>
        <c:delete val="0"/>
        <c:axPos val="b"/>
        <c:majorTickMark val="out"/>
        <c:minorTickMark val="none"/>
        <c:tickLblPos val="nextTo"/>
        <c:txPr>
          <a:bodyPr/>
          <a:lstStyle/>
          <a:p>
            <a:pPr>
              <a:defRPr sz="900" baseline="0"/>
            </a:pPr>
            <a:endParaRPr lang="en-US"/>
          </a:p>
        </c:txPr>
        <c:crossAx val="151473536"/>
        <c:crosses val="autoZero"/>
        <c:auto val="1"/>
        <c:lblAlgn val="ctr"/>
        <c:lblOffset val="100"/>
        <c:noMultiLvlLbl val="0"/>
      </c:catAx>
      <c:valAx>
        <c:axId val="151473536"/>
        <c:scaling>
          <c:orientation val="minMax"/>
        </c:scaling>
        <c:delete val="0"/>
        <c:axPos val="l"/>
        <c:majorGridlines/>
        <c:title>
          <c:tx>
            <c:rich>
              <a:bodyPr rot="-5400000" vert="horz"/>
              <a:lstStyle/>
              <a:p>
                <a:pPr>
                  <a:defRPr/>
                </a:pPr>
                <a:r>
                  <a:rPr lang="en-US"/>
                  <a:t>Total (channel and soil) storage volume (m3)</a:t>
                </a:r>
              </a:p>
            </c:rich>
          </c:tx>
          <c:layout/>
          <c:overlay val="0"/>
        </c:title>
        <c:numFmt formatCode="#,##0" sourceLinked="0"/>
        <c:majorTickMark val="out"/>
        <c:minorTickMark val="none"/>
        <c:tickLblPos val="nextTo"/>
        <c:crossAx val="151472000"/>
        <c:crosses val="autoZero"/>
        <c:crossBetween val="between"/>
      </c:valAx>
    </c:plotArea>
    <c:legend>
      <c:legendPos val="t"/>
      <c:layout>
        <c:manualLayout>
          <c:xMode val="edge"/>
          <c:yMode val="edge"/>
          <c:x val="1.5514603778284454E-2"/>
          <c:y val="1.8793323914200501E-2"/>
          <c:w val="0.97033533829916763"/>
          <c:h val="0.1901892601168672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F9DEAC-543D-4FD2-BA56-1A7DFD3B1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44</Pages>
  <Words>12949</Words>
  <Characters>73814</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NERC</Company>
  <LinksUpToDate>false</LinksUpToDate>
  <CharactersWithSpaces>86590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Charlie Stratford</dc:creator>
  <cp:lastModifiedBy>Philip Brewin</cp:lastModifiedBy>
  <cp:revision>5</cp:revision>
  <cp:lastPrinted>2014-11-05T13:08:00Z</cp:lastPrinted>
  <dcterms:created xsi:type="dcterms:W3CDTF">2014-11-05T14:13:00Z</dcterms:created>
  <dcterms:modified xsi:type="dcterms:W3CDTF">2014-11-05T16:59:00Z</dcterms:modified>
</cp:coreProperties>
</file>